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4E689"/>
    <w:p w14:paraId="3FA32D74"/>
    <w:p w14:paraId="108A7F69"/>
    <w:p w14:paraId="7DD97F4A"/>
    <w:p w14:paraId="59E02E61">
      <w:pPr>
        <w:jc w:val="left"/>
      </w:pPr>
    </w:p>
    <w:p w14:paraId="7DE49256"/>
    <w:p w14:paraId="6E7628B5"/>
    <w:p w14:paraId="6C20D08A"/>
    <w:p w14:paraId="145970C1"/>
    <w:p w14:paraId="51CF6315"/>
    <w:p w14:paraId="75311A86"/>
    <w:p w14:paraId="4D4FA0EE"/>
    <w:p w14:paraId="2E2FBBCC"/>
    <w:p w14:paraId="04157BE1"/>
    <w:p w14:paraId="5774923C">
      <w:pPr>
        <w:jc w:val="both"/>
        <w:rPr>
          <w:rFonts w:hint="eastAsia"/>
          <w:lang w:val="en-US" w:eastAsia="zh-CN"/>
        </w:rPr>
      </w:pPr>
    </w:p>
    <w:p w14:paraId="110E127E">
      <w:pPr>
        <w:jc w:val="center"/>
        <w:rPr>
          <w:rFonts w:hint="eastAsia" w:ascii="黑体" w:hAnsi="黑体" w:eastAsia="黑体" w:cs="黑体"/>
          <w:sz w:val="40"/>
          <w:szCs w:val="40"/>
          <w:lang w:val="en-US" w:eastAsia="zh-CN"/>
        </w:rPr>
      </w:pP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>advPID库使用说明文档</w:t>
      </w:r>
    </w:p>
    <w:p w14:paraId="737B9327">
      <w:pPr>
        <w:jc w:val="center"/>
        <w:rPr>
          <w:rFonts w:hint="eastAsia" w:ascii="黑体" w:hAnsi="黑体" w:eastAsia="黑体" w:cs="黑体"/>
          <w:sz w:val="40"/>
          <w:szCs w:val="40"/>
          <w:lang w:val="en-US" w:eastAsia="zh-CN"/>
        </w:rPr>
      </w:pP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>V1.00</w:t>
      </w:r>
    </w:p>
    <w:p w14:paraId="1D22CC04"/>
    <w:p w14:paraId="19EC02ED"/>
    <w:p w14:paraId="5AEBA87F"/>
    <w:p w14:paraId="00940F4C"/>
    <w:p w14:paraId="4DA58EE8"/>
    <w:p w14:paraId="56400BA2"/>
    <w:p w14:paraId="17751576"/>
    <w:p w14:paraId="025CFF7F"/>
    <w:p w14:paraId="543B5C51"/>
    <w:p w14:paraId="3B0428D7"/>
    <w:p w14:paraId="2907C8EC"/>
    <w:p w14:paraId="463416F4"/>
    <w:p w14:paraId="50F12EBF"/>
    <w:p w14:paraId="1869057C"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深圳市合信自动化技术有限公司</w:t>
      </w:r>
    </w:p>
    <w:p w14:paraId="1320E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after="0" w:afterLines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2021年8月11日</w:t>
      </w:r>
    </w:p>
    <w:p w14:paraId="7A9B9458"/>
    <w:p w14:paraId="2BD72772">
      <w:pPr>
        <w:sectPr>
          <w:headerReference r:id="rId4" w:type="first"/>
          <w:headerReference r:id="rId3" w:type="default"/>
          <w:footerReference r:id="rId5" w:type="default"/>
          <w:pgSz w:w="11906" w:h="16838"/>
          <w:pgMar w:top="850" w:right="1080" w:bottom="850" w:left="1080" w:header="567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12" w:charSpace="0"/>
        </w:sectPr>
      </w:pPr>
    </w:p>
    <w:p w14:paraId="10F155B8">
      <w:pPr>
        <w:jc w:val="center"/>
        <w:rPr>
          <w:rFonts w:hint="eastAsia" w:ascii="黑体" w:hAnsi="黑体" w:eastAsia="黑体" w:cs="黑体"/>
          <w:sz w:val="32"/>
          <w:szCs w:val="32"/>
        </w:rPr>
      </w:pPr>
      <w:bookmarkStart w:id="0" w:name="_Toc8095"/>
      <w:r>
        <w:rPr>
          <w:rFonts w:hint="eastAsia" w:ascii="黑体" w:hAnsi="黑体" w:eastAsia="黑体" w:cs="黑体"/>
          <w:sz w:val="32"/>
          <w:szCs w:val="32"/>
        </w:rPr>
        <w:t>版本修订记录</w:t>
      </w:r>
      <w:bookmarkEnd w:id="0"/>
    </w:p>
    <w:tbl>
      <w:tblPr>
        <w:tblStyle w:val="16"/>
        <w:tblW w:w="9813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1309"/>
        <w:gridCol w:w="3999"/>
        <w:gridCol w:w="1507"/>
        <w:gridCol w:w="1434"/>
      </w:tblGrid>
      <w:tr w14:paraId="4AD3A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564" w:type="dxa"/>
            <w:shd w:val="clear" w:color="auto" w:fill="0084CD"/>
            <w:noWrap w:val="0"/>
            <w:vAlign w:val="top"/>
          </w:tcPr>
          <w:p w14:paraId="0DA2B448">
            <w:pPr>
              <w:jc w:val="center"/>
              <w:rPr>
                <w:rFonts w:hint="eastAsia" w:ascii="Arial" w:hAnsi="Arial" w:cs="Arial"/>
                <w:color w:val="FFFFFF"/>
                <w:sz w:val="20"/>
              </w:rPr>
            </w:pPr>
            <w:r>
              <w:rPr>
                <w:rFonts w:hint="eastAsia" w:ascii="Arial" w:hAnsi="Arial" w:cs="Arial"/>
                <w:b/>
                <w:bCs/>
                <w:color w:val="FFFFFF"/>
                <w:sz w:val="20"/>
                <w:lang w:val="en-US" w:eastAsia="zh-CN"/>
              </w:rPr>
              <w:t>发布</w:t>
            </w:r>
            <w:r>
              <w:rPr>
                <w:rFonts w:hint="eastAsia" w:ascii="Arial" w:hAnsi="Arial" w:cs="Arial"/>
                <w:b/>
                <w:bCs/>
                <w:color w:val="FFFFFF"/>
                <w:sz w:val="20"/>
              </w:rPr>
              <w:t>日期</w:t>
            </w:r>
          </w:p>
        </w:tc>
        <w:tc>
          <w:tcPr>
            <w:tcW w:w="1309" w:type="dxa"/>
            <w:shd w:val="clear" w:color="auto" w:fill="0084CD"/>
            <w:noWrap w:val="0"/>
            <w:vAlign w:val="top"/>
          </w:tcPr>
          <w:p w14:paraId="13C98167">
            <w:pPr>
              <w:jc w:val="center"/>
              <w:rPr>
                <w:rFonts w:hint="eastAsia" w:ascii="Arial" w:hAnsi="Arial" w:cs="Arial"/>
                <w:color w:val="FFFFFF"/>
                <w:sz w:val="20"/>
              </w:rPr>
            </w:pPr>
            <w:r>
              <w:rPr>
                <w:rFonts w:hint="eastAsia" w:ascii="Arial" w:hAnsi="Arial" w:cs="Arial"/>
                <w:b/>
                <w:bCs/>
                <w:color w:val="FFFFFF"/>
                <w:sz w:val="20"/>
              </w:rPr>
              <w:t>版本</w:t>
            </w:r>
          </w:p>
        </w:tc>
        <w:tc>
          <w:tcPr>
            <w:tcW w:w="3999" w:type="dxa"/>
            <w:shd w:val="clear" w:color="auto" w:fill="0084CD"/>
            <w:noWrap w:val="0"/>
            <w:vAlign w:val="top"/>
          </w:tcPr>
          <w:p w14:paraId="6B72D05B">
            <w:pPr>
              <w:jc w:val="center"/>
              <w:rPr>
                <w:rFonts w:hint="eastAsia" w:ascii="Arial" w:hAnsi="Arial" w:cs="Arial"/>
                <w:color w:val="FFFFFF"/>
                <w:sz w:val="20"/>
              </w:rPr>
            </w:pPr>
            <w:r>
              <w:rPr>
                <w:rFonts w:hint="eastAsia" w:ascii="Arial" w:hAnsi="Arial" w:cs="Arial"/>
                <w:b/>
                <w:bCs/>
                <w:color w:val="FFFFFF"/>
                <w:sz w:val="20"/>
              </w:rPr>
              <w:t>修订内容</w:t>
            </w:r>
          </w:p>
        </w:tc>
        <w:tc>
          <w:tcPr>
            <w:tcW w:w="1507" w:type="dxa"/>
            <w:shd w:val="clear" w:color="auto" w:fill="0084CD"/>
            <w:noWrap w:val="0"/>
            <w:vAlign w:val="top"/>
          </w:tcPr>
          <w:p w14:paraId="46B56EF2">
            <w:pPr>
              <w:jc w:val="center"/>
              <w:rPr>
                <w:rFonts w:hint="eastAsia" w:ascii="Arial" w:hAnsi="Arial" w:cs="Arial"/>
                <w:b/>
                <w:bCs/>
                <w:color w:val="FFFFFF"/>
                <w:sz w:val="20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FFFFFF"/>
                <w:sz w:val="20"/>
                <w:lang w:val="en-US" w:eastAsia="zh-CN"/>
              </w:rPr>
              <w:t>修订人</w:t>
            </w:r>
          </w:p>
        </w:tc>
        <w:tc>
          <w:tcPr>
            <w:tcW w:w="1434" w:type="dxa"/>
            <w:shd w:val="clear" w:color="auto" w:fill="0084CD"/>
            <w:noWrap w:val="0"/>
            <w:vAlign w:val="top"/>
          </w:tcPr>
          <w:p w14:paraId="4BC76FAC">
            <w:pPr>
              <w:jc w:val="center"/>
              <w:rPr>
                <w:rFonts w:hint="eastAsia" w:ascii="Arial" w:hAnsi="Arial" w:cs="Arial"/>
                <w:b/>
                <w:bCs/>
                <w:color w:val="FFFFFF"/>
                <w:sz w:val="20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FFFFFF"/>
                <w:sz w:val="20"/>
                <w:lang w:val="en-US" w:eastAsia="zh-CN"/>
              </w:rPr>
              <w:t>审批人</w:t>
            </w:r>
          </w:p>
        </w:tc>
      </w:tr>
      <w:tr w14:paraId="352F5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4" w:type="dxa"/>
            <w:noWrap w:val="0"/>
            <w:vAlign w:val="center"/>
          </w:tcPr>
          <w:p w14:paraId="57A654C7">
            <w:pPr>
              <w:jc w:val="center"/>
              <w:rPr>
                <w:rFonts w:hint="eastAsia"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  <w:t>20</w:t>
            </w:r>
            <w:r>
              <w:rPr>
                <w:rFonts w:hint="eastAsia" w:ascii="Arial" w:hAnsi="Arial" w:cs="Arial"/>
                <w:bCs/>
                <w:color w:val="000000"/>
                <w:sz w:val="20"/>
                <w:lang w:val="en-US" w:eastAsia="zh-CN"/>
              </w:rPr>
              <w:t>21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年</w:t>
            </w:r>
            <w:r>
              <w:rPr>
                <w:rFonts w:hint="eastAsia" w:ascii="Arial" w:hAnsi="Arial" w:cs="Arial"/>
                <w:bCs/>
                <w:color w:val="000000"/>
                <w:sz w:val="20"/>
                <w:lang w:val="en-US" w:eastAsia="zh-CN"/>
              </w:rPr>
              <w:t>8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月</w:t>
            </w:r>
          </w:p>
        </w:tc>
        <w:tc>
          <w:tcPr>
            <w:tcW w:w="1309" w:type="dxa"/>
            <w:noWrap w:val="0"/>
            <w:vAlign w:val="center"/>
          </w:tcPr>
          <w:p w14:paraId="6C1CC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  <w:t>V</w:t>
            </w:r>
            <w:r>
              <w:rPr>
                <w:rFonts w:hint="eastAsia" w:ascii="Arial" w:hAnsi="Arial" w:cs="Arial"/>
                <w:bCs/>
                <w:color w:val="000000"/>
                <w:sz w:val="20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.00</w:t>
            </w:r>
          </w:p>
        </w:tc>
        <w:tc>
          <w:tcPr>
            <w:tcW w:w="3999" w:type="dxa"/>
            <w:noWrap w:val="0"/>
            <w:vAlign w:val="center"/>
          </w:tcPr>
          <w:p w14:paraId="32D4DA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="Arial" w:hAnsi="Arial" w:cs="Arial"/>
                <w:sz w:val="20"/>
                <w:szCs w:val="21"/>
                <w:lang w:val="en-US"/>
              </w:rPr>
            </w:pPr>
            <w:r>
              <w:rPr>
                <w:rFonts w:hint="eastAsia" w:ascii="Arial" w:hAnsi="Arial" w:cs="Arial"/>
                <w:sz w:val="20"/>
                <w:szCs w:val="21"/>
                <w:lang w:val="en-US" w:eastAsia="zh-CN"/>
              </w:rPr>
              <w:t>首版发布</w:t>
            </w:r>
          </w:p>
        </w:tc>
        <w:tc>
          <w:tcPr>
            <w:tcW w:w="1507" w:type="dxa"/>
            <w:noWrap w:val="0"/>
            <w:vAlign w:val="center"/>
          </w:tcPr>
          <w:p w14:paraId="71D250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center"/>
              <w:textAlignment w:val="auto"/>
              <w:rPr>
                <w:rFonts w:hint="eastAsia" w:ascii="Arial" w:hAnsi="Arial" w:cs="Arial"/>
                <w:sz w:val="20"/>
                <w:szCs w:val="21"/>
                <w:lang w:val="en-US" w:eastAsia="zh-CN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176226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center"/>
              <w:textAlignment w:val="auto"/>
              <w:rPr>
                <w:rFonts w:hint="eastAsia" w:ascii="Arial" w:hAnsi="Arial" w:cs="Arial"/>
                <w:sz w:val="20"/>
                <w:szCs w:val="21"/>
                <w:lang w:val="en-US" w:eastAsia="zh-CN"/>
              </w:rPr>
            </w:pPr>
          </w:p>
        </w:tc>
      </w:tr>
      <w:tr w14:paraId="5A3B8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4" w:type="dxa"/>
            <w:noWrap w:val="0"/>
            <w:vAlign w:val="center"/>
          </w:tcPr>
          <w:p w14:paraId="32E36619">
            <w:pPr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1309" w:type="dxa"/>
            <w:noWrap w:val="0"/>
            <w:vAlign w:val="center"/>
          </w:tcPr>
          <w:p w14:paraId="01E10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3999" w:type="dxa"/>
            <w:noWrap w:val="0"/>
            <w:vAlign w:val="center"/>
          </w:tcPr>
          <w:p w14:paraId="7B0BAA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="Arial" w:hAnsi="Arial" w:cs="Arial"/>
                <w:sz w:val="20"/>
                <w:szCs w:val="21"/>
                <w:lang w:val="en-US" w:eastAsia="zh-CN"/>
              </w:rPr>
            </w:pPr>
          </w:p>
        </w:tc>
        <w:tc>
          <w:tcPr>
            <w:tcW w:w="1507" w:type="dxa"/>
            <w:noWrap w:val="0"/>
            <w:vAlign w:val="center"/>
          </w:tcPr>
          <w:p w14:paraId="59F85F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Arial" w:hAnsi="Arial" w:cs="Arial"/>
                <w:sz w:val="20"/>
                <w:szCs w:val="21"/>
                <w:lang w:val="en-US" w:eastAsia="zh-CN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696AFD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Arial" w:hAnsi="Arial" w:cs="Arial"/>
                <w:sz w:val="20"/>
                <w:szCs w:val="21"/>
                <w:lang w:val="en-US" w:eastAsia="zh-CN"/>
              </w:rPr>
            </w:pPr>
          </w:p>
        </w:tc>
      </w:tr>
      <w:tr w14:paraId="6F27C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4" w:type="dxa"/>
            <w:noWrap w:val="0"/>
            <w:vAlign w:val="center"/>
          </w:tcPr>
          <w:p w14:paraId="05E241A3">
            <w:pPr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1309" w:type="dxa"/>
            <w:noWrap w:val="0"/>
            <w:vAlign w:val="center"/>
          </w:tcPr>
          <w:p w14:paraId="1E55E2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3999" w:type="dxa"/>
            <w:noWrap w:val="0"/>
            <w:vAlign w:val="center"/>
          </w:tcPr>
          <w:p w14:paraId="39AEAA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="Arial" w:hAnsi="Arial" w:cs="Arial"/>
                <w:sz w:val="20"/>
                <w:szCs w:val="21"/>
                <w:lang w:val="en-US" w:eastAsia="zh-CN"/>
              </w:rPr>
            </w:pPr>
          </w:p>
        </w:tc>
        <w:tc>
          <w:tcPr>
            <w:tcW w:w="1507" w:type="dxa"/>
            <w:noWrap w:val="0"/>
            <w:vAlign w:val="center"/>
          </w:tcPr>
          <w:p w14:paraId="55AB4E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Arial" w:hAnsi="Arial" w:cs="Arial"/>
                <w:sz w:val="20"/>
                <w:szCs w:val="21"/>
                <w:lang w:val="en-US" w:eastAsia="zh-CN"/>
              </w:rPr>
            </w:pPr>
            <w:bookmarkStart w:id="9" w:name="_GoBack"/>
            <w:bookmarkEnd w:id="9"/>
          </w:p>
        </w:tc>
        <w:tc>
          <w:tcPr>
            <w:tcW w:w="1434" w:type="dxa"/>
            <w:noWrap w:val="0"/>
            <w:vAlign w:val="center"/>
          </w:tcPr>
          <w:p w14:paraId="4015F6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Arial" w:hAnsi="Arial" w:cs="Arial"/>
                <w:sz w:val="20"/>
                <w:szCs w:val="21"/>
                <w:lang w:val="en-US" w:eastAsia="zh-CN"/>
              </w:rPr>
            </w:pPr>
          </w:p>
        </w:tc>
      </w:tr>
      <w:tr w14:paraId="25B86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4" w:type="dxa"/>
            <w:noWrap w:val="0"/>
            <w:vAlign w:val="center"/>
          </w:tcPr>
          <w:p w14:paraId="12E8458F">
            <w:pPr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1309" w:type="dxa"/>
            <w:noWrap w:val="0"/>
            <w:vAlign w:val="center"/>
          </w:tcPr>
          <w:p w14:paraId="780788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3999" w:type="dxa"/>
            <w:noWrap w:val="0"/>
            <w:vAlign w:val="center"/>
          </w:tcPr>
          <w:p w14:paraId="50B3DA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="Arial" w:hAnsi="Arial" w:cs="Arial"/>
                <w:sz w:val="20"/>
                <w:szCs w:val="21"/>
                <w:lang w:val="en-US" w:eastAsia="zh-CN"/>
              </w:rPr>
            </w:pPr>
          </w:p>
        </w:tc>
        <w:tc>
          <w:tcPr>
            <w:tcW w:w="1507" w:type="dxa"/>
            <w:noWrap w:val="0"/>
            <w:vAlign w:val="center"/>
          </w:tcPr>
          <w:p w14:paraId="7ECC0D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Arial" w:hAnsi="Arial" w:cs="Arial"/>
                <w:sz w:val="20"/>
                <w:szCs w:val="21"/>
                <w:lang w:val="en-US" w:eastAsia="zh-CN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6B0494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Arial" w:hAnsi="Arial" w:cs="Arial"/>
                <w:sz w:val="20"/>
                <w:szCs w:val="21"/>
                <w:lang w:val="en-US" w:eastAsia="zh-CN"/>
              </w:rPr>
            </w:pPr>
          </w:p>
        </w:tc>
      </w:tr>
      <w:tr w14:paraId="4727D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4" w:type="dxa"/>
            <w:noWrap w:val="0"/>
            <w:vAlign w:val="center"/>
          </w:tcPr>
          <w:p w14:paraId="2B2B78A7">
            <w:pPr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1309" w:type="dxa"/>
            <w:noWrap w:val="0"/>
            <w:vAlign w:val="center"/>
          </w:tcPr>
          <w:p w14:paraId="3C9D0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3999" w:type="dxa"/>
            <w:noWrap w:val="0"/>
            <w:vAlign w:val="center"/>
          </w:tcPr>
          <w:p w14:paraId="5935E6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 w:ascii="Arial" w:hAnsi="Arial" w:cs="Arial"/>
                <w:sz w:val="20"/>
                <w:szCs w:val="21"/>
                <w:lang w:val="en-US" w:eastAsia="zh-CN"/>
              </w:rPr>
            </w:pPr>
          </w:p>
        </w:tc>
        <w:tc>
          <w:tcPr>
            <w:tcW w:w="1507" w:type="dxa"/>
            <w:noWrap w:val="0"/>
            <w:vAlign w:val="center"/>
          </w:tcPr>
          <w:p w14:paraId="50D9ED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Arial" w:hAnsi="Arial" w:cs="Arial"/>
                <w:sz w:val="20"/>
                <w:szCs w:val="21"/>
                <w:lang w:val="en-US" w:eastAsia="zh-CN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32B404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Arial" w:hAnsi="Arial" w:cs="Arial"/>
                <w:sz w:val="20"/>
                <w:szCs w:val="21"/>
                <w:lang w:val="en-US" w:eastAsia="zh-CN"/>
              </w:rPr>
            </w:pPr>
          </w:p>
        </w:tc>
      </w:tr>
    </w:tbl>
    <w:p w14:paraId="16EE6FB5">
      <w:pPr>
        <w:rPr>
          <w:rFonts w:hint="eastAsia" w:ascii="Arial" w:hAnsi="Arial" w:cs="Arial"/>
          <w:bCs/>
          <w:color w:val="000000"/>
          <w:sz w:val="24"/>
        </w:rPr>
      </w:pPr>
    </w:p>
    <w:p w14:paraId="4E24018E">
      <w:pPr>
        <w:rPr>
          <w:rFonts w:hint="eastAsia" w:ascii="Arial" w:hAnsi="Arial" w:cs="Arial"/>
          <w:bCs/>
          <w:color w:val="000000"/>
          <w:sz w:val="24"/>
        </w:rPr>
      </w:pPr>
    </w:p>
    <w:p w14:paraId="715684F9">
      <w:pPr>
        <w:rPr>
          <w:rFonts w:hint="eastAsia" w:ascii="Arial" w:hAnsi="Arial" w:cs="Arial"/>
          <w:bCs/>
          <w:color w:val="000000"/>
          <w:sz w:val="24"/>
        </w:rPr>
      </w:pPr>
      <w:r>
        <w:rPr>
          <w:rFonts w:hint="eastAsia" w:ascii="Arial" w:hAnsi="Arial" w:cs="Arial"/>
          <w:bCs/>
          <w:color w:val="000000"/>
          <w:sz w:val="24"/>
        </w:rPr>
        <w:br w:type="page"/>
      </w:r>
    </w:p>
    <w:p w14:paraId="724EE890">
      <w:pPr>
        <w:rPr>
          <w:rFonts w:hint="eastAsia" w:ascii="Arial" w:hAnsi="Arial" w:cs="Arial"/>
          <w:bCs/>
          <w:color w:val="000000"/>
          <w:sz w:val="24"/>
        </w:rPr>
      </w:pPr>
    </w:p>
    <w:p w14:paraId="7B30AD1C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目录</w:t>
      </w:r>
    </w:p>
    <w:p w14:paraId="3D215325">
      <w:pPr>
        <w:rPr>
          <w:rFonts w:hint="eastAsia" w:ascii="Arial" w:hAnsi="Arial" w:cs="Arial"/>
          <w:bCs/>
          <w:color w:val="000000"/>
          <w:sz w:val="24"/>
        </w:rPr>
      </w:pPr>
    </w:p>
    <w:p w14:paraId="372FF83E">
      <w:pPr>
        <w:pStyle w:val="14"/>
        <w:tabs>
          <w:tab w:val="right" w:leader="dot" w:pos="9746"/>
        </w:tabs>
      </w:pPr>
      <w:r>
        <w:fldChar w:fldCharType="begin"/>
      </w:r>
      <w:r>
        <w:instrText xml:space="preserve">TOC \o "1-3" \h \u </w:instrText>
      </w:r>
      <w:r>
        <w:fldChar w:fldCharType="separate"/>
      </w:r>
      <w:r>
        <w:fldChar w:fldCharType="begin"/>
      </w:r>
      <w:r>
        <w:instrText xml:space="preserve"> HYPERLINK \l _Toc29279 </w:instrText>
      </w:r>
      <w:r>
        <w:fldChar w:fldCharType="separate"/>
      </w:r>
      <w:r>
        <w:rPr>
          <w:rFonts w:hint="default"/>
          <w:lang w:val="en-US" w:eastAsia="zh-CN"/>
        </w:rPr>
        <w:t xml:space="preserve">1. </w:t>
      </w:r>
      <w:r>
        <w:rPr>
          <w:rFonts w:hint="eastAsia"/>
          <w:lang w:val="en-US" w:eastAsia="zh-CN"/>
        </w:rPr>
        <w:t>概述</w:t>
      </w:r>
      <w:r>
        <w:tab/>
      </w:r>
      <w:r>
        <w:fldChar w:fldCharType="begin"/>
      </w:r>
      <w:r>
        <w:instrText xml:space="preserve"> PAGEREF _Toc29279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02CC2B01">
      <w:pPr>
        <w:pStyle w:val="15"/>
        <w:tabs>
          <w:tab w:val="right" w:leader="dot" w:pos="9746"/>
        </w:tabs>
      </w:pPr>
      <w:r>
        <w:fldChar w:fldCharType="begin"/>
      </w:r>
      <w:r>
        <w:instrText xml:space="preserve"> HYPERLINK \l _Toc9614 </w:instrText>
      </w:r>
      <w:r>
        <w:fldChar w:fldCharType="separate"/>
      </w:r>
      <w:r>
        <w:rPr>
          <w:rFonts w:hint="default"/>
          <w:lang w:val="en-US" w:eastAsia="zh-CN"/>
        </w:rPr>
        <w:t xml:space="preserve">1.1. </w:t>
      </w:r>
      <w:r>
        <w:rPr>
          <w:rFonts w:hint="eastAsia"/>
          <w:lang w:val="en-US" w:eastAsia="zh-CN"/>
        </w:rPr>
        <w:t>目的</w:t>
      </w:r>
      <w:r>
        <w:tab/>
      </w:r>
      <w:r>
        <w:fldChar w:fldCharType="begin"/>
      </w:r>
      <w:r>
        <w:instrText xml:space="preserve"> PAGEREF _Toc9614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82BCFD5">
      <w:pPr>
        <w:pStyle w:val="15"/>
        <w:tabs>
          <w:tab w:val="right" w:leader="dot" w:pos="9746"/>
        </w:tabs>
      </w:pPr>
      <w:r>
        <w:fldChar w:fldCharType="begin"/>
      </w:r>
      <w:r>
        <w:instrText xml:space="preserve"> HYPERLINK \l _Toc18558 </w:instrText>
      </w:r>
      <w:r>
        <w:fldChar w:fldCharType="separate"/>
      </w:r>
      <w:r>
        <w:rPr>
          <w:rFonts w:hint="default"/>
          <w:lang w:val="en-US" w:eastAsia="zh-CN"/>
        </w:rPr>
        <w:t xml:space="preserve">1.2. </w:t>
      </w:r>
      <w:r>
        <w:rPr>
          <w:rFonts w:hint="eastAsia"/>
          <w:lang w:val="en-US" w:eastAsia="zh-CN"/>
        </w:rPr>
        <w:t>适用范围</w:t>
      </w:r>
      <w:r>
        <w:tab/>
      </w:r>
      <w:r>
        <w:fldChar w:fldCharType="begin"/>
      </w:r>
      <w:r>
        <w:instrText xml:space="preserve"> PAGEREF _Toc18558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E1A4CCD">
      <w:pPr>
        <w:pStyle w:val="11"/>
        <w:tabs>
          <w:tab w:val="right" w:leader="dot" w:pos="9746"/>
        </w:tabs>
      </w:pPr>
      <w:r>
        <w:fldChar w:fldCharType="begin"/>
      </w:r>
      <w:r>
        <w:instrText xml:space="preserve"> HYPERLINK \l _Toc21476 </w:instrText>
      </w:r>
      <w:r>
        <w:fldChar w:fldCharType="separate"/>
      </w:r>
      <w:r>
        <w:rPr>
          <w:rFonts w:hint="default"/>
          <w:lang w:val="en-US" w:eastAsia="zh-CN"/>
        </w:rPr>
        <w:t xml:space="preserve">1.2.1. </w:t>
      </w:r>
      <w:r>
        <w:rPr>
          <w:rFonts w:hint="eastAsia"/>
          <w:lang w:val="en-US" w:eastAsia="zh-CN"/>
        </w:rPr>
        <w:t>权责</w:t>
      </w:r>
      <w:r>
        <w:tab/>
      </w:r>
      <w:r>
        <w:fldChar w:fldCharType="begin"/>
      </w:r>
      <w:r>
        <w:instrText xml:space="preserve"> PAGEREF _Toc21476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8084522">
      <w:pPr>
        <w:pStyle w:val="11"/>
        <w:tabs>
          <w:tab w:val="right" w:leader="dot" w:pos="9746"/>
        </w:tabs>
      </w:pPr>
      <w:r>
        <w:fldChar w:fldCharType="begin"/>
      </w:r>
      <w:r>
        <w:instrText xml:space="preserve"> HYPERLINK \l _Toc6149 </w:instrText>
      </w:r>
      <w:r>
        <w:fldChar w:fldCharType="separate"/>
      </w:r>
      <w:r>
        <w:rPr>
          <w:rFonts w:hint="default"/>
          <w:lang w:val="en-US" w:eastAsia="zh-CN"/>
        </w:rPr>
        <w:t xml:space="preserve">1.2.2. </w:t>
      </w:r>
      <w:r>
        <w:rPr>
          <w:rFonts w:hint="eastAsia"/>
          <w:lang w:val="en-US" w:eastAsia="zh-CN"/>
        </w:rPr>
        <w:t>定义</w:t>
      </w:r>
      <w:r>
        <w:tab/>
      </w:r>
      <w:r>
        <w:fldChar w:fldCharType="begin"/>
      </w:r>
      <w:r>
        <w:instrText xml:space="preserve"> PAGEREF _Toc6149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BBF99B3">
      <w:pPr>
        <w:pStyle w:val="14"/>
        <w:tabs>
          <w:tab w:val="right" w:leader="dot" w:pos="9746"/>
        </w:tabs>
      </w:pPr>
      <w:r>
        <w:fldChar w:fldCharType="begin"/>
      </w:r>
      <w:r>
        <w:instrText xml:space="preserve"> HYPERLINK \l _Toc4055 </w:instrText>
      </w:r>
      <w:r>
        <w:fldChar w:fldCharType="separate"/>
      </w:r>
      <w:r>
        <w:rPr>
          <w:rFonts w:hint="default"/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规格参数</w:t>
      </w:r>
      <w:r>
        <w:tab/>
      </w:r>
      <w:r>
        <w:fldChar w:fldCharType="begin"/>
      </w:r>
      <w:r>
        <w:instrText xml:space="preserve"> PAGEREF _Toc4055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3B2B04D">
      <w:pPr>
        <w:pStyle w:val="14"/>
        <w:tabs>
          <w:tab w:val="right" w:leader="dot" w:pos="9746"/>
        </w:tabs>
      </w:pPr>
      <w:r>
        <w:fldChar w:fldCharType="begin"/>
      </w:r>
      <w:r>
        <w:instrText xml:space="preserve"> HYPERLINK \l _Toc13876 </w:instrText>
      </w:r>
      <w:r>
        <w:fldChar w:fldCharType="separate"/>
      </w:r>
      <w:r>
        <w:rPr>
          <w:rFonts w:hint="default"/>
          <w:lang w:val="en-US" w:eastAsia="zh-CN"/>
        </w:rPr>
        <w:t xml:space="preserve">3. </w:t>
      </w:r>
      <w:r>
        <w:rPr>
          <w:rFonts w:hint="eastAsia"/>
          <w:lang w:val="en-US" w:eastAsia="zh-CN"/>
        </w:rPr>
        <w:t>其他内容</w:t>
      </w:r>
      <w:r>
        <w:tab/>
      </w:r>
      <w:r>
        <w:fldChar w:fldCharType="begin"/>
      </w:r>
      <w:r>
        <w:instrText xml:space="preserve"> PAGEREF _Toc13876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74FDD3AA">
      <w:r>
        <w:fldChar w:fldCharType="end"/>
      </w:r>
    </w:p>
    <w:p w14:paraId="047818AA"/>
    <w:p w14:paraId="52B14F40">
      <w:r>
        <w:br w:type="page"/>
      </w:r>
    </w:p>
    <w:p w14:paraId="61010E08"/>
    <w:p w14:paraId="163E3BDF">
      <w:pPr>
        <w:pStyle w:val="2"/>
        <w:numPr>
          <w:ilvl w:val="0"/>
          <w:numId w:val="2"/>
        </w:numPr>
        <w:rPr>
          <w:rFonts w:hint="eastAsia"/>
          <w:lang w:val="en-US" w:eastAsia="zh-CN"/>
        </w:rPr>
      </w:pPr>
      <w:bookmarkStart w:id="1" w:name="_Toc29279"/>
      <w:r>
        <w:rPr>
          <w:rFonts w:hint="eastAsia"/>
          <w:lang w:val="en-US" w:eastAsia="zh-CN"/>
        </w:rPr>
        <w:t>概述</w:t>
      </w:r>
      <w:bookmarkEnd w:id="1"/>
    </w:p>
    <w:p w14:paraId="257B5C1C"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="420" w:lef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vPID功能块是集成在CPU内部，不占用用户程序空间，作为一个库函数提供给用户使用。advPID拥有能够对温度、湿度、流量、压力、等进行控制的高级智能PID算法，带有自整定、在线自校正调节、预置参数等功能，用户无需复杂编程，只需调用和设置一些简单的参数就可以使用，控制准确。</w:t>
      </w:r>
    </w:p>
    <w:p w14:paraId="24E88EE2">
      <w:pPr>
        <w:pStyle w:val="3"/>
        <w:numPr>
          <w:ilvl w:val="1"/>
          <w:numId w:val="2"/>
        </w:numPr>
        <w:rPr>
          <w:rFonts w:hint="eastAsia"/>
          <w:lang w:val="en-US" w:eastAsia="zh-CN"/>
        </w:rPr>
      </w:pPr>
      <w:bookmarkStart w:id="2" w:name="_Toc9614"/>
      <w:r>
        <w:rPr>
          <w:rFonts w:hint="eastAsia"/>
          <w:lang w:val="en-US" w:eastAsia="zh-CN"/>
        </w:rPr>
        <w:t>目的</w:t>
      </w:r>
      <w:bookmarkEnd w:id="2"/>
    </w:p>
    <w:p w14:paraId="1EEA753D"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介绍此文档要描述的对象。</w:t>
      </w:r>
    </w:p>
    <w:p w14:paraId="7E394F06">
      <w:pPr>
        <w:pStyle w:val="3"/>
        <w:numPr>
          <w:ilvl w:val="1"/>
          <w:numId w:val="2"/>
        </w:numPr>
        <w:rPr>
          <w:rFonts w:hint="eastAsia"/>
          <w:lang w:val="en-US" w:eastAsia="zh-CN"/>
        </w:rPr>
      </w:pPr>
      <w:bookmarkStart w:id="3" w:name="_Toc18558"/>
      <w:r>
        <w:rPr>
          <w:rFonts w:hint="eastAsia"/>
          <w:lang w:val="en-US" w:eastAsia="zh-CN"/>
        </w:rPr>
        <w:t>适用范围</w:t>
      </w:r>
      <w:bookmarkEnd w:id="3"/>
    </w:p>
    <w:p w14:paraId="5E5B85D7">
      <w:pPr>
        <w:pStyle w:val="4"/>
        <w:numPr>
          <w:ilvl w:val="2"/>
          <w:numId w:val="2"/>
        </w:numPr>
        <w:rPr>
          <w:rFonts w:hint="eastAsia"/>
          <w:lang w:val="en-US" w:eastAsia="zh-CN"/>
        </w:rPr>
      </w:pPr>
      <w:bookmarkStart w:id="4" w:name="_Toc21476"/>
      <w:r>
        <w:rPr>
          <w:rFonts w:hint="eastAsia"/>
          <w:lang w:val="en-US" w:eastAsia="zh-CN"/>
        </w:rPr>
        <w:t>权责</w:t>
      </w:r>
      <w:bookmarkEnd w:id="4"/>
    </w:p>
    <w:p w14:paraId="5320966E"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介绍此文档要描述的对象。</w:t>
      </w:r>
    </w:p>
    <w:p w14:paraId="146BE2AA">
      <w:pPr>
        <w:pStyle w:val="4"/>
        <w:numPr>
          <w:ilvl w:val="2"/>
          <w:numId w:val="2"/>
        </w:numPr>
        <w:ind w:left="720" w:hanging="720"/>
        <w:rPr>
          <w:rFonts w:hint="eastAsia"/>
          <w:b/>
          <w:lang w:val="en-US" w:eastAsia="zh-CN"/>
        </w:rPr>
      </w:pPr>
      <w:bookmarkStart w:id="5" w:name="_Toc6149"/>
      <w:r>
        <w:rPr>
          <w:rFonts w:hint="eastAsia"/>
          <w:b/>
          <w:lang w:val="en-US" w:eastAsia="zh-CN"/>
        </w:rPr>
        <w:t>定义</w:t>
      </w:r>
      <w:bookmarkEnd w:id="5"/>
    </w:p>
    <w:p w14:paraId="7CBA77D8"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介绍此文档要描述的对象。</w:t>
      </w:r>
    </w:p>
    <w:p w14:paraId="46A45D39">
      <w:pPr>
        <w:pStyle w:val="2"/>
        <w:numPr>
          <w:ilvl w:val="0"/>
          <w:numId w:val="2"/>
        </w:numPr>
        <w:ind w:left="432" w:hanging="432"/>
        <w:rPr>
          <w:rFonts w:hint="eastAsia"/>
          <w:lang w:val="en-US" w:eastAsia="zh-CN"/>
        </w:rPr>
      </w:pPr>
      <w:bookmarkStart w:id="6" w:name="_Toc4055"/>
      <w:r>
        <w:rPr>
          <w:rFonts w:hint="eastAsia"/>
          <w:lang w:val="en-US" w:eastAsia="zh-CN"/>
        </w:rPr>
        <w:t>规格参数</w:t>
      </w:r>
      <w:bookmarkEnd w:id="6"/>
    </w:p>
    <w:p w14:paraId="6FBCCAED"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advPID功能块示例</w:t>
      </w:r>
    </w:p>
    <w:p w14:paraId="23F0467E"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textAlignment w:val="auto"/>
        <w:outlineLvl w:val="9"/>
      </w:pPr>
      <w:r>
        <w:rPr>
          <w:rFonts w:hint="eastAsia"/>
          <w:lang w:val="en-US" w:eastAsia="zh-CN"/>
        </w:rPr>
        <w:t xml:space="preserve">图2-1 </w:t>
      </w:r>
      <w:r>
        <w:drawing>
          <wp:inline distT="0" distB="0" distL="114300" distR="114300">
            <wp:extent cx="5745480" cy="3103245"/>
            <wp:effectExtent l="0" t="0" r="7620" b="190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45480" cy="3103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D0EB11C"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textAlignment w:val="auto"/>
        <w:outlineLvl w:val="9"/>
      </w:pPr>
    </w:p>
    <w:p w14:paraId="14942E59"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textAlignment w:val="auto"/>
        <w:outlineLvl w:val="9"/>
        <w:rPr>
          <w:rFonts w:hint="eastAsia"/>
          <w:lang w:val="en-US" w:eastAsia="zh-CN"/>
        </w:rPr>
      </w:pPr>
    </w:p>
    <w:p w14:paraId="6D82508B"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表2-1 advPID参数</w:t>
      </w:r>
    </w:p>
    <w:tbl>
      <w:tblPr>
        <w:tblStyle w:val="17"/>
        <w:tblW w:w="9395" w:type="dxa"/>
        <w:tblInd w:w="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1230"/>
        <w:gridCol w:w="5803"/>
        <w:gridCol w:w="1217"/>
      </w:tblGrid>
      <w:tr w14:paraId="6BBF8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  <w:shd w:val="clear" w:color="auto" w:fill="BDD6EE"/>
            <w:noWrap w:val="0"/>
            <w:vAlign w:val="top"/>
          </w:tcPr>
          <w:p w14:paraId="571877E8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名称</w:t>
            </w:r>
          </w:p>
        </w:tc>
        <w:tc>
          <w:tcPr>
            <w:tcW w:w="1230" w:type="dxa"/>
            <w:shd w:val="clear" w:color="auto" w:fill="BDD6EE"/>
            <w:noWrap w:val="0"/>
            <w:vAlign w:val="top"/>
          </w:tcPr>
          <w:p w14:paraId="44C22007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数据类型</w:t>
            </w:r>
          </w:p>
        </w:tc>
        <w:tc>
          <w:tcPr>
            <w:tcW w:w="5803" w:type="dxa"/>
            <w:shd w:val="clear" w:color="auto" w:fill="BDD6EE"/>
            <w:noWrap w:val="0"/>
            <w:vAlign w:val="top"/>
          </w:tcPr>
          <w:p w14:paraId="15BF0CFB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描述</w:t>
            </w:r>
          </w:p>
        </w:tc>
        <w:tc>
          <w:tcPr>
            <w:tcW w:w="1217" w:type="dxa"/>
            <w:shd w:val="clear" w:color="auto" w:fill="BDD6EE"/>
            <w:noWrap w:val="0"/>
            <w:vAlign w:val="top"/>
          </w:tcPr>
          <w:p w14:paraId="7F979E88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默认值</w:t>
            </w:r>
          </w:p>
        </w:tc>
      </w:tr>
      <w:tr w14:paraId="376E0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5" w:type="dxa"/>
            <w:gridSpan w:val="4"/>
            <w:shd w:val="clear" w:color="auto" w:fill="D7D7D7" w:themeFill="background1" w:themeFillShade="D8"/>
            <w:noWrap w:val="0"/>
            <w:vAlign w:val="top"/>
          </w:tcPr>
          <w:p w14:paraId="3155152D">
            <w:pPr>
              <w:pStyle w:val="20"/>
              <w:keepNext w:val="0"/>
              <w:keepLines w:val="0"/>
              <w:pageBreakBefore w:val="0"/>
              <w:widowControl w:val="0"/>
              <w:tabs>
                <w:tab w:val="left" w:pos="9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200" w:firstLineChars="100"/>
              <w:textAlignment w:val="auto"/>
              <w:outlineLvl w:val="9"/>
              <w:rPr>
                <w:rFonts w:hint="eastAsia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shd w:val="clear" w:color="auto" w:fill="auto"/>
                <w:vertAlign w:val="baseline"/>
                <w:lang w:val="en-US" w:eastAsia="zh-CN"/>
              </w:rPr>
              <w:t>INPUT输入</w:t>
            </w:r>
          </w:p>
        </w:tc>
      </w:tr>
      <w:tr w14:paraId="07F8D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  <w:noWrap w:val="0"/>
            <w:vAlign w:val="top"/>
          </w:tcPr>
          <w:p w14:paraId="32B2ABF7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Channel</w:t>
            </w:r>
          </w:p>
        </w:tc>
        <w:tc>
          <w:tcPr>
            <w:tcW w:w="1230" w:type="dxa"/>
            <w:noWrap w:val="0"/>
            <w:vAlign w:val="top"/>
          </w:tcPr>
          <w:p w14:paraId="5A70D897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WORD</w:t>
            </w:r>
          </w:p>
        </w:tc>
        <w:tc>
          <w:tcPr>
            <w:tcW w:w="5803" w:type="dxa"/>
            <w:noWrap w:val="0"/>
            <w:vAlign w:val="top"/>
          </w:tcPr>
          <w:p w14:paraId="79B6088D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表示PID的通道编号，每个通道的计算相互独立，在控制多个对象时，调用多个PID块，应使用不同的通道编号来控制。</w:t>
            </w:r>
          </w:p>
          <w:p w14:paraId="0F44E2F7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---取值范围：0 - 64</w:t>
            </w:r>
          </w:p>
        </w:tc>
        <w:tc>
          <w:tcPr>
            <w:tcW w:w="1217" w:type="dxa"/>
            <w:noWrap w:val="0"/>
            <w:vAlign w:val="top"/>
          </w:tcPr>
          <w:p w14:paraId="62EDB894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</w:tr>
      <w:tr w14:paraId="35C2A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  <w:noWrap w:val="0"/>
            <w:vAlign w:val="top"/>
          </w:tcPr>
          <w:p w14:paraId="69C27B6B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Model</w:t>
            </w:r>
          </w:p>
        </w:tc>
        <w:tc>
          <w:tcPr>
            <w:tcW w:w="1230" w:type="dxa"/>
            <w:noWrap w:val="0"/>
            <w:vAlign w:val="top"/>
          </w:tcPr>
          <w:p w14:paraId="2FC8C17D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WORD</w:t>
            </w:r>
          </w:p>
        </w:tc>
        <w:tc>
          <w:tcPr>
            <w:tcW w:w="5803" w:type="dxa"/>
            <w:noWrap w:val="0"/>
            <w:vAlign w:val="top"/>
          </w:tcPr>
          <w:p w14:paraId="487015BC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表示PID算法模式选择，可以根据被控对象来选择相应的模式，PID块会给出相应的PID参数。</w:t>
            </w:r>
          </w:p>
          <w:p w14:paraId="1A80BC0F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• 0：默认模式，适用于绝大多数控制对象。</w:t>
            </w:r>
          </w:p>
          <w:p w14:paraId="2A494293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400" w:leftChars="0" w:hanging="400" w:hangingChars="20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• 1：开启PID在线自校正的模式，在该模式下，PID算法会根据调节的效果对P,I参数进行实时校正，控制对象和设定值（SV）的条件会不断变化，该控制系统可自动计算 PID 并进行控制。虽然不要求高控制性能，但由于控制对象的条件频繁变化，当自动调整无法运行时该控制系统将非常有效。</w:t>
            </w:r>
          </w:p>
          <w:p w14:paraId="31B79CE2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400" w:leftChars="0" w:hanging="400" w:hangingChars="200"/>
              <w:textAlignment w:val="auto"/>
              <w:outlineLvl w:val="9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  <w:t>注意：在此模式下不要手动调节PID参数，否则可能引起无法预知的影响。</w:t>
            </w:r>
          </w:p>
          <w:p w14:paraId="05434137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400" w:leftChars="0" w:hanging="400" w:hangingChars="20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• 10：控制对象为TEC（半导体制冷器）时专用的算法模式。</w:t>
            </w:r>
          </w:p>
          <w:p w14:paraId="53552FDC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400" w:leftChars="0" w:hanging="400" w:hangingChars="20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---取值范围：0 - 32000</w:t>
            </w:r>
          </w:p>
        </w:tc>
        <w:tc>
          <w:tcPr>
            <w:tcW w:w="1217" w:type="dxa"/>
            <w:noWrap w:val="0"/>
            <w:vAlign w:val="top"/>
          </w:tcPr>
          <w:p w14:paraId="3A3C33DD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</w:tr>
      <w:tr w14:paraId="1D9E7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  <w:noWrap w:val="0"/>
            <w:vAlign w:val="top"/>
          </w:tcPr>
          <w:p w14:paraId="5D786E7B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PV</w:t>
            </w:r>
          </w:p>
        </w:tc>
        <w:tc>
          <w:tcPr>
            <w:tcW w:w="1230" w:type="dxa"/>
            <w:noWrap w:val="0"/>
            <w:vAlign w:val="top"/>
          </w:tcPr>
          <w:p w14:paraId="41F42D12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WORD</w:t>
            </w:r>
          </w:p>
        </w:tc>
        <w:tc>
          <w:tcPr>
            <w:tcW w:w="5803" w:type="dxa"/>
            <w:noWrap w:val="0"/>
            <w:vAlign w:val="top"/>
          </w:tcPr>
          <w:p w14:paraId="36F31079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PV（Process Variable）表示被控对象的值。比如被控对象的温度，压力，流量，等。最后一位为小数，例4000表示400.0。</w:t>
            </w:r>
          </w:p>
          <w:p w14:paraId="73B9F953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  <w:t>注意：值范围不能超过Rang表示的范围</w:t>
            </w:r>
          </w:p>
          <w:p w14:paraId="444ED764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---取值范围：-20000 - 20000</w:t>
            </w:r>
          </w:p>
        </w:tc>
        <w:tc>
          <w:tcPr>
            <w:tcW w:w="1217" w:type="dxa"/>
            <w:noWrap w:val="0"/>
            <w:vAlign w:val="top"/>
          </w:tcPr>
          <w:p w14:paraId="64B7094B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</w:tr>
      <w:tr w14:paraId="2568D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  <w:noWrap w:val="0"/>
            <w:vAlign w:val="top"/>
          </w:tcPr>
          <w:p w14:paraId="2F26052F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SV</w:t>
            </w:r>
          </w:p>
        </w:tc>
        <w:tc>
          <w:tcPr>
            <w:tcW w:w="1230" w:type="dxa"/>
            <w:noWrap w:val="0"/>
            <w:vAlign w:val="top"/>
          </w:tcPr>
          <w:p w14:paraId="14F53E2B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WORD</w:t>
            </w:r>
          </w:p>
        </w:tc>
        <w:tc>
          <w:tcPr>
            <w:tcW w:w="5803" w:type="dxa"/>
            <w:noWrap w:val="0"/>
            <w:vAlign w:val="top"/>
          </w:tcPr>
          <w:p w14:paraId="7EC682FE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表示对被控对象的期望值，设定值。最后一位为小数，例4000表示400.0。</w:t>
            </w:r>
          </w:p>
          <w:p w14:paraId="4420FB70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  <w:t>注意：值范围不能超过Rang表示的范围</w:t>
            </w:r>
          </w:p>
          <w:p w14:paraId="2AEA4FFC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---取值范围：-20000 - 20000</w:t>
            </w:r>
          </w:p>
        </w:tc>
        <w:tc>
          <w:tcPr>
            <w:tcW w:w="1217" w:type="dxa"/>
            <w:noWrap w:val="0"/>
            <w:vAlign w:val="top"/>
          </w:tcPr>
          <w:p w14:paraId="3221B6D0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</w:tr>
      <w:tr w14:paraId="3F972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  <w:noWrap w:val="0"/>
            <w:vAlign w:val="top"/>
          </w:tcPr>
          <w:p w14:paraId="4EEA10A0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Rang</w:t>
            </w:r>
          </w:p>
        </w:tc>
        <w:tc>
          <w:tcPr>
            <w:tcW w:w="1230" w:type="dxa"/>
            <w:noWrap w:val="0"/>
            <w:vAlign w:val="top"/>
          </w:tcPr>
          <w:p w14:paraId="78D8F8F2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WORD</w:t>
            </w:r>
          </w:p>
        </w:tc>
        <w:tc>
          <w:tcPr>
            <w:tcW w:w="5803" w:type="dxa"/>
            <w:noWrap w:val="0"/>
            <w:vAlign w:val="top"/>
          </w:tcPr>
          <w:p w14:paraId="0B8566D3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表示对被控对象的动作范围，比如温度可以取传感器的量程换算，如-200-400℃换算为6000，电压电流也可以先比例换算为合适的范围，如0-10V换算为10000。</w:t>
            </w:r>
          </w:p>
          <w:p w14:paraId="18FF7254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---取值范围：1 - 20000</w:t>
            </w:r>
          </w:p>
        </w:tc>
        <w:tc>
          <w:tcPr>
            <w:tcW w:w="1217" w:type="dxa"/>
            <w:noWrap w:val="0"/>
            <w:vAlign w:val="top"/>
          </w:tcPr>
          <w:p w14:paraId="3CAC69A0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4000</w:t>
            </w:r>
          </w:p>
        </w:tc>
      </w:tr>
      <w:tr w14:paraId="1881E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  <w:noWrap w:val="0"/>
            <w:vAlign w:val="top"/>
          </w:tcPr>
          <w:p w14:paraId="71102852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PWM_T</w:t>
            </w:r>
          </w:p>
        </w:tc>
        <w:tc>
          <w:tcPr>
            <w:tcW w:w="1230" w:type="dxa"/>
            <w:noWrap w:val="0"/>
            <w:vAlign w:val="top"/>
          </w:tcPr>
          <w:p w14:paraId="7186E924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WORD</w:t>
            </w:r>
          </w:p>
        </w:tc>
        <w:tc>
          <w:tcPr>
            <w:tcW w:w="5803" w:type="dxa"/>
            <w:noWrap w:val="0"/>
            <w:vAlign w:val="top"/>
          </w:tcPr>
          <w:p w14:paraId="39C2AACB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设定PWM输出的周期，单位（S）。</w:t>
            </w:r>
          </w:p>
          <w:p w14:paraId="415A84C7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  <w:t>注意：为了减少外围输出元件寿命损耗，建议对于SSR（固态继电器）输出取值一般不小于2，对于机械继电器取值一般不小于30.</w:t>
            </w:r>
          </w:p>
          <w:p w14:paraId="1EB2BCBF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---取值范围：0 - 32000</w:t>
            </w:r>
          </w:p>
        </w:tc>
        <w:tc>
          <w:tcPr>
            <w:tcW w:w="1217" w:type="dxa"/>
            <w:noWrap w:val="0"/>
            <w:vAlign w:val="top"/>
          </w:tcPr>
          <w:p w14:paraId="498F5FEE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</w:tr>
      <w:tr w14:paraId="37425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5" w:type="dxa"/>
            <w:gridSpan w:val="4"/>
            <w:shd w:val="clear" w:color="auto" w:fill="D7D7D7" w:themeFill="background1" w:themeFillShade="D8"/>
            <w:noWrap w:val="0"/>
            <w:vAlign w:val="top"/>
          </w:tcPr>
          <w:p w14:paraId="32C35FE3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left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IN_OUTPUT输入输出</w:t>
            </w:r>
          </w:p>
        </w:tc>
      </w:tr>
      <w:tr w14:paraId="6D317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  <w:noWrap w:val="0"/>
            <w:vAlign w:val="top"/>
          </w:tcPr>
          <w:p w14:paraId="481FF97C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Control</w:t>
            </w:r>
          </w:p>
        </w:tc>
        <w:tc>
          <w:tcPr>
            <w:tcW w:w="1230" w:type="dxa"/>
            <w:noWrap w:val="0"/>
            <w:vAlign w:val="top"/>
          </w:tcPr>
          <w:p w14:paraId="16FE70E4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bookmarkStart w:id="7" w:name="OLE_LINK1"/>
            <w:r>
              <w:rPr>
                <w:rFonts w:hint="eastAsia"/>
                <w:vertAlign w:val="baseline"/>
                <w:lang w:val="en-US" w:eastAsia="zh-CN"/>
              </w:rPr>
              <w:t>WORD</w:t>
            </w:r>
            <w:bookmarkEnd w:id="7"/>
          </w:p>
        </w:tc>
        <w:tc>
          <w:tcPr>
            <w:tcW w:w="5803" w:type="dxa"/>
            <w:noWrap w:val="0"/>
            <w:vAlign w:val="top"/>
          </w:tcPr>
          <w:p w14:paraId="42DC05C6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PID算法的控制设定，以字的16个位进行功能选择</w:t>
            </w:r>
          </w:p>
          <w:p w14:paraId="29B5D732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color w:val="0000FF"/>
                <w:vertAlign w:val="baseline"/>
                <w:lang w:val="en-US" w:eastAsia="zh-CN"/>
              </w:rPr>
              <w:t>注</w:t>
            </w:r>
            <w:r>
              <w:rPr>
                <w:rFonts w:hint="eastAsia"/>
                <w:vertAlign w:val="baseline"/>
                <w:lang w:val="en-US" w:eastAsia="zh-CN"/>
              </w:rPr>
              <w:t>：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如果没有选择控制极性，默认为单极反向控制。</w:t>
            </w:r>
          </w:p>
          <w:p w14:paraId="5AC1B34E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  <w:t>DEC(十进制)操作加上表格中相应数字即相应位置1</w:t>
            </w:r>
          </w:p>
          <w:tbl>
            <w:tblPr>
              <w:tblStyle w:val="17"/>
              <w:tblW w:w="558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12"/>
              <w:gridCol w:w="4675"/>
            </w:tblGrid>
            <w:tr w14:paraId="1858BBF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2" w:type="dxa"/>
                  <w:shd w:val="clear" w:color="auto" w:fill="D7D7D7" w:themeFill="background1" w:themeFillShade="D8"/>
                </w:tcPr>
                <w:p w14:paraId="2F71DE71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控制位</w:t>
                  </w:r>
                </w:p>
              </w:tc>
              <w:tc>
                <w:tcPr>
                  <w:tcW w:w="4675" w:type="dxa"/>
                  <w:shd w:val="clear" w:color="auto" w:fill="D7D7D7" w:themeFill="background1" w:themeFillShade="D8"/>
                </w:tcPr>
                <w:p w14:paraId="1973959F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描述</w:t>
                  </w:r>
                </w:p>
              </w:tc>
            </w:tr>
            <w:tr w14:paraId="325B83B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2" w:type="dxa"/>
                </w:tcPr>
                <w:p w14:paraId="2D6E0CDF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Bit 0</w:t>
                  </w:r>
                </w:p>
                <w:p w14:paraId="39A08C9A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DEC:+1</w:t>
                  </w:r>
                </w:p>
              </w:tc>
              <w:tc>
                <w:tcPr>
                  <w:tcW w:w="4675" w:type="dxa"/>
                </w:tcPr>
                <w:p w14:paraId="2068CE23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1：启动PID计算 </w:t>
                  </w:r>
                </w:p>
                <w:p w14:paraId="418AEF07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0：关闭PID，PID将停止运行，输出为0</w:t>
                  </w:r>
                </w:p>
              </w:tc>
            </w:tr>
            <w:tr w14:paraId="19618E3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2" w:type="dxa"/>
                </w:tcPr>
                <w:p w14:paraId="193F51D6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Bit 1</w:t>
                  </w:r>
                </w:p>
                <w:p w14:paraId="69259C5F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DEC:+2</w:t>
                  </w:r>
                </w:p>
              </w:tc>
              <w:tc>
                <w:tcPr>
                  <w:tcW w:w="4675" w:type="dxa"/>
                </w:tcPr>
                <w:p w14:paraId="1FF4C80F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1：启动PID自整定算法，整定结束后会自动复位 </w:t>
                  </w:r>
                </w:p>
                <w:p w14:paraId="44B28781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0：关闭PID自整定算法</w:t>
                  </w:r>
                </w:p>
              </w:tc>
            </w:tr>
            <w:tr w14:paraId="27E4D15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2" w:type="dxa"/>
                </w:tcPr>
                <w:p w14:paraId="06AA50F3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Bit 2</w:t>
                  </w:r>
                </w:p>
                <w:p w14:paraId="6A84154A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DEC:+4</w:t>
                  </w:r>
                </w:p>
              </w:tc>
              <w:tc>
                <w:tcPr>
                  <w:tcW w:w="4675" w:type="dxa"/>
                </w:tcPr>
                <w:p w14:paraId="2B76BB90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400" w:leftChars="0" w:hanging="400" w:hangingChars="20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1：输出为单极反向控制，PWM仅热端输出，即SV大于PV时，输出增加，用于加热控制，输出范围为 0 - 32000</w:t>
                  </w:r>
                </w:p>
                <w:p w14:paraId="41D1D54D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0：未选择</w:t>
                  </w:r>
                </w:p>
              </w:tc>
            </w:tr>
            <w:tr w14:paraId="51CCFA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2" w:type="dxa"/>
                </w:tcPr>
                <w:p w14:paraId="602085C3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Bit 3</w:t>
                  </w:r>
                </w:p>
                <w:p w14:paraId="23436ED9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DEC:+8</w:t>
                  </w:r>
                </w:p>
              </w:tc>
              <w:tc>
                <w:tcPr>
                  <w:tcW w:w="4675" w:type="dxa"/>
                </w:tcPr>
                <w:p w14:paraId="2D6168ED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400" w:leftChars="0" w:hanging="400" w:hangingChars="20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1：输出为单极正向控制，PWM仅热端输出，即SV大于PV时，输出减少，用于制冷控制，输出范围为 0 - 32000 </w:t>
                  </w:r>
                </w:p>
                <w:p w14:paraId="0D51DFEF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0：未选择</w:t>
                  </w:r>
                </w:p>
              </w:tc>
            </w:tr>
            <w:tr w14:paraId="4CC2396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2" w:type="dxa"/>
                </w:tcPr>
                <w:p w14:paraId="10D21D95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Bit 4</w:t>
                  </w:r>
                </w:p>
                <w:p w14:paraId="61EA6F74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DEC:+16</w:t>
                  </w:r>
                </w:p>
              </w:tc>
              <w:tc>
                <w:tcPr>
                  <w:tcW w:w="4675" w:type="dxa"/>
                </w:tcPr>
                <w:p w14:paraId="1866E7D5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400" w:leftChars="0" w:hanging="400" w:hangingChars="20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1：输出为对偶控制，PWM热端反向，PWM冷端正向，即SV大于PV时，输出增加，PWM端极性相反，输出范围为 -32000 - 32000 </w:t>
                  </w:r>
                </w:p>
                <w:p w14:paraId="07431DC4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0：未选择</w:t>
                  </w:r>
                </w:p>
              </w:tc>
            </w:tr>
            <w:tr w14:paraId="4D564A1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2" w:type="dxa"/>
                </w:tcPr>
                <w:p w14:paraId="0AF64C0F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Bit 5</w:t>
                  </w:r>
                </w:p>
                <w:p w14:paraId="31410879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DEC:+32</w:t>
                  </w:r>
                </w:p>
              </w:tc>
              <w:tc>
                <w:tcPr>
                  <w:tcW w:w="4675" w:type="dxa"/>
                </w:tcPr>
                <w:p w14:paraId="262A02A6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400" w:leftChars="0" w:hanging="400" w:hangingChars="20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1：输出为对偶控制，PWM热端反向，PWM冷端反向，即SV大于PV时，输出增加，PWM端极性相同，输出范围为 -32000 - 32000 </w:t>
                  </w:r>
                </w:p>
                <w:p w14:paraId="2A6C243F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0：未选择 </w:t>
                  </w:r>
                  <w:r>
                    <w:rPr>
                      <w:rFonts w:hint="eastAsia"/>
                      <w:color w:val="C00000"/>
                      <w:vertAlign w:val="baseline"/>
                      <w:lang w:val="en-US" w:eastAsia="zh-CN"/>
                    </w:rPr>
                    <w:t>暂未实现</w:t>
                  </w:r>
                </w:p>
              </w:tc>
            </w:tr>
            <w:tr w14:paraId="40E27CE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2" w:type="dxa"/>
                </w:tcPr>
                <w:p w14:paraId="7C1CE60F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Bit 6</w:t>
                  </w:r>
                </w:p>
                <w:p w14:paraId="4561C2C5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DEC:+64</w:t>
                  </w:r>
                </w:p>
              </w:tc>
              <w:tc>
                <w:tcPr>
                  <w:tcW w:w="4675" w:type="dxa"/>
                </w:tcPr>
                <w:p w14:paraId="495E8B79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400" w:leftChars="0" w:hanging="400" w:hangingChars="20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1：输出为对偶控制，PWM热端正向，PWM冷端正向，即SV大于PV时，输出增加，PWM端极性相同，输出范围为 -32000 - 32000 </w:t>
                  </w:r>
                </w:p>
                <w:p w14:paraId="66F1A419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0：未选择 </w:t>
                  </w:r>
                  <w:r>
                    <w:rPr>
                      <w:rFonts w:hint="eastAsia"/>
                      <w:color w:val="C00000"/>
                      <w:vertAlign w:val="baseline"/>
                      <w:lang w:val="en-US" w:eastAsia="zh-CN"/>
                    </w:rPr>
                    <w:t>暂未实现</w:t>
                  </w:r>
                </w:p>
              </w:tc>
            </w:tr>
            <w:tr w14:paraId="22A057D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2" w:type="dxa"/>
                </w:tcPr>
                <w:p w14:paraId="0A797BAF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Bit 7</w:t>
                  </w:r>
                </w:p>
                <w:p w14:paraId="088A4927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DEC:</w:t>
                  </w:r>
                </w:p>
                <w:p w14:paraId="28A6823F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+128</w:t>
                  </w:r>
                </w:p>
              </w:tc>
              <w:tc>
                <w:tcPr>
                  <w:tcW w:w="4675" w:type="dxa"/>
                </w:tcPr>
                <w:p w14:paraId="377B389E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400" w:leftChars="0" w:hanging="400" w:hangingChars="20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1：输出为对偶控制，PWM热端正向，PWM冷端反向，即SV大于PV时，输出增加，PWM端极性相反，输出范围为 -32000 - 32000 </w:t>
                  </w:r>
                </w:p>
                <w:p w14:paraId="47B0E4A9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0：未选择 </w:t>
                  </w:r>
                  <w:r>
                    <w:rPr>
                      <w:rFonts w:hint="eastAsia"/>
                      <w:color w:val="C00000"/>
                      <w:vertAlign w:val="baseline"/>
                      <w:lang w:val="en-US" w:eastAsia="zh-CN"/>
                    </w:rPr>
                    <w:t>暂未实现</w:t>
                  </w:r>
                </w:p>
              </w:tc>
            </w:tr>
            <w:tr w14:paraId="7BBECA8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2" w:type="dxa"/>
                </w:tcPr>
                <w:p w14:paraId="56C64367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Bit 15</w:t>
                  </w:r>
                </w:p>
                <w:p w14:paraId="07E17F60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DEC:</w:t>
                  </w:r>
                </w:p>
                <w:p w14:paraId="1E605326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+32768</w:t>
                  </w:r>
                </w:p>
              </w:tc>
              <w:tc>
                <w:tcPr>
                  <w:tcW w:w="4675" w:type="dxa"/>
                </w:tcPr>
                <w:p w14:paraId="29A03A16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400" w:leftChars="0" w:hanging="400" w:hangingChars="20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1：PID参数复位</w:t>
                  </w:r>
                </w:p>
                <w:p w14:paraId="578755A5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0：无</w:t>
                  </w:r>
                </w:p>
              </w:tc>
            </w:tr>
          </w:tbl>
          <w:p w14:paraId="78A0EBCD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top"/>
          </w:tcPr>
          <w:p w14:paraId="396FD0DB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</w:tr>
      <w:tr w14:paraId="6BA68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  <w:noWrap w:val="0"/>
            <w:vAlign w:val="top"/>
          </w:tcPr>
          <w:p w14:paraId="23BBD173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</w:t>
            </w:r>
          </w:p>
        </w:tc>
        <w:tc>
          <w:tcPr>
            <w:tcW w:w="1230" w:type="dxa"/>
            <w:noWrap w:val="0"/>
            <w:vAlign w:val="top"/>
          </w:tcPr>
          <w:p w14:paraId="559D9FD5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WORD</w:t>
            </w:r>
          </w:p>
        </w:tc>
        <w:tc>
          <w:tcPr>
            <w:tcW w:w="5803" w:type="dxa"/>
            <w:noWrap w:val="0"/>
            <w:vAlign w:val="top"/>
          </w:tcPr>
          <w:p w14:paraId="520E63BC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比例带，设定 PID 参数的比例范围，有效范围为 0 - 999%，最后一位为小数</w:t>
            </w:r>
          </w:p>
          <w:p w14:paraId="6C0E3D3A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---取值范围：0 - 9999</w:t>
            </w:r>
          </w:p>
        </w:tc>
        <w:tc>
          <w:tcPr>
            <w:tcW w:w="1217" w:type="dxa"/>
            <w:noWrap w:val="0"/>
            <w:vAlign w:val="top"/>
          </w:tcPr>
          <w:p w14:paraId="1658B0A7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</w:tr>
      <w:tr w14:paraId="6407C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  <w:noWrap w:val="0"/>
            <w:vAlign w:val="top"/>
          </w:tcPr>
          <w:p w14:paraId="6962BA00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</w:t>
            </w:r>
          </w:p>
        </w:tc>
        <w:tc>
          <w:tcPr>
            <w:tcW w:w="1230" w:type="dxa"/>
            <w:noWrap w:val="0"/>
            <w:vAlign w:val="top"/>
          </w:tcPr>
          <w:p w14:paraId="6AC626DC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WORD</w:t>
            </w:r>
          </w:p>
        </w:tc>
        <w:tc>
          <w:tcPr>
            <w:tcW w:w="5803" w:type="dxa"/>
            <w:noWrap w:val="0"/>
            <w:vAlign w:val="top"/>
          </w:tcPr>
          <w:p w14:paraId="0F25F223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积分时间，有效范围为 0 - 3200秒，最后一位为小数</w:t>
            </w:r>
          </w:p>
          <w:p w14:paraId="662C72A5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  <w:color w:val="0000FF"/>
                <w:vertAlign w:val="baseline"/>
                <w:lang w:val="en-US" w:eastAsia="zh-CN"/>
              </w:rPr>
              <w:t>注：当值为0时，取消积分作用</w:t>
            </w:r>
          </w:p>
          <w:p w14:paraId="391462BB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---取值范围：0 - 32000</w:t>
            </w:r>
          </w:p>
        </w:tc>
        <w:tc>
          <w:tcPr>
            <w:tcW w:w="1217" w:type="dxa"/>
            <w:noWrap w:val="0"/>
            <w:vAlign w:val="top"/>
          </w:tcPr>
          <w:p w14:paraId="47AC7BE3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</w:tr>
      <w:tr w14:paraId="48DBA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  <w:noWrap w:val="0"/>
            <w:vAlign w:val="top"/>
          </w:tcPr>
          <w:p w14:paraId="72215776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1230" w:type="dxa"/>
            <w:noWrap w:val="0"/>
            <w:vAlign w:val="top"/>
          </w:tcPr>
          <w:p w14:paraId="3EB39D11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WORD</w:t>
            </w:r>
          </w:p>
        </w:tc>
        <w:tc>
          <w:tcPr>
            <w:tcW w:w="5803" w:type="dxa"/>
            <w:noWrap w:val="0"/>
            <w:vAlign w:val="top"/>
          </w:tcPr>
          <w:p w14:paraId="7F3FF930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微分时间，有效范围为 0 - 3200秒，最后一位为小数</w:t>
            </w:r>
          </w:p>
          <w:p w14:paraId="06372C3F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  <w:color w:val="0000FF"/>
                <w:vertAlign w:val="baseline"/>
                <w:lang w:val="en-US" w:eastAsia="zh-CN"/>
              </w:rPr>
              <w:t>注：当值为0时，取消微分作用</w:t>
            </w:r>
          </w:p>
          <w:p w14:paraId="08459EC1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---取值范围：0 - 32000</w:t>
            </w:r>
          </w:p>
        </w:tc>
        <w:tc>
          <w:tcPr>
            <w:tcW w:w="1217" w:type="dxa"/>
            <w:noWrap w:val="0"/>
            <w:vAlign w:val="top"/>
          </w:tcPr>
          <w:p w14:paraId="3F4CE641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</w:tr>
      <w:tr w14:paraId="0D7ED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  <w:noWrap w:val="0"/>
            <w:vAlign w:val="top"/>
          </w:tcPr>
          <w:p w14:paraId="157E737A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AR</w:t>
            </w:r>
          </w:p>
        </w:tc>
        <w:tc>
          <w:tcPr>
            <w:tcW w:w="1230" w:type="dxa"/>
            <w:noWrap w:val="0"/>
            <w:vAlign w:val="top"/>
          </w:tcPr>
          <w:p w14:paraId="4D0D5292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WORD</w:t>
            </w:r>
          </w:p>
        </w:tc>
        <w:tc>
          <w:tcPr>
            <w:tcW w:w="5803" w:type="dxa"/>
            <w:noWrap w:val="0"/>
            <w:vAlign w:val="top"/>
          </w:tcPr>
          <w:p w14:paraId="06645AFB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抗积分饱和，设定进行积分工作的范围，有效范围为 0 - 100%，</w:t>
            </w:r>
          </w:p>
          <w:p w14:paraId="55A91C12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最后一位为小数</w:t>
            </w:r>
          </w:p>
          <w:p w14:paraId="7C97D450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---取值范围：0 - 1000</w:t>
            </w:r>
          </w:p>
        </w:tc>
        <w:tc>
          <w:tcPr>
            <w:tcW w:w="1217" w:type="dxa"/>
            <w:noWrap w:val="0"/>
            <w:vAlign w:val="top"/>
          </w:tcPr>
          <w:p w14:paraId="2D80C665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1000</w:t>
            </w:r>
          </w:p>
        </w:tc>
      </w:tr>
      <w:tr w14:paraId="1A939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  <w:noWrap w:val="0"/>
            <w:vAlign w:val="top"/>
          </w:tcPr>
          <w:p w14:paraId="314A19D9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</w:t>
            </w:r>
          </w:p>
        </w:tc>
        <w:tc>
          <w:tcPr>
            <w:tcW w:w="1230" w:type="dxa"/>
            <w:noWrap w:val="0"/>
            <w:vAlign w:val="top"/>
          </w:tcPr>
          <w:p w14:paraId="72F39842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WORD</w:t>
            </w:r>
          </w:p>
        </w:tc>
        <w:tc>
          <w:tcPr>
            <w:tcW w:w="5803" w:type="dxa"/>
            <w:noWrap w:val="0"/>
            <w:vAlign w:val="top"/>
          </w:tcPr>
          <w:p w14:paraId="510FCF93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PID计算周期时间，有效范围为 1 - 100秒，最后一位为小数</w:t>
            </w:r>
          </w:p>
          <w:p w14:paraId="345476A6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---取值范围：1 - 1000</w:t>
            </w:r>
          </w:p>
        </w:tc>
        <w:tc>
          <w:tcPr>
            <w:tcW w:w="1217" w:type="dxa"/>
            <w:noWrap w:val="0"/>
            <w:vAlign w:val="top"/>
          </w:tcPr>
          <w:p w14:paraId="7EAEC99D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</w:tr>
      <w:tr w14:paraId="0216C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5" w:type="dxa"/>
            <w:gridSpan w:val="4"/>
            <w:shd w:val="clear" w:color="auto" w:fill="D7D7D7" w:themeFill="background1" w:themeFillShade="D8"/>
            <w:noWrap w:val="0"/>
            <w:vAlign w:val="top"/>
          </w:tcPr>
          <w:p w14:paraId="041E43C4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200" w:firstLineChars="100"/>
              <w:jc w:val="left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OUTPUT输出</w:t>
            </w:r>
          </w:p>
        </w:tc>
      </w:tr>
      <w:tr w14:paraId="17B9A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  <w:noWrap w:val="0"/>
            <w:vAlign w:val="top"/>
          </w:tcPr>
          <w:p w14:paraId="12FA8968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OUT</w:t>
            </w:r>
          </w:p>
        </w:tc>
        <w:tc>
          <w:tcPr>
            <w:tcW w:w="1230" w:type="dxa"/>
            <w:noWrap w:val="0"/>
            <w:vAlign w:val="top"/>
          </w:tcPr>
          <w:p w14:paraId="475EF416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WORD</w:t>
            </w:r>
          </w:p>
        </w:tc>
        <w:tc>
          <w:tcPr>
            <w:tcW w:w="5803" w:type="dxa"/>
            <w:noWrap w:val="0"/>
            <w:vAlign w:val="top"/>
          </w:tcPr>
          <w:p w14:paraId="67150B78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PID的输出</w:t>
            </w:r>
          </w:p>
          <w:p w14:paraId="6B37E433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---范围：单极性0 - 32000，双极性 -32000 - 32000</w:t>
            </w:r>
          </w:p>
        </w:tc>
        <w:tc>
          <w:tcPr>
            <w:tcW w:w="1217" w:type="dxa"/>
            <w:noWrap w:val="0"/>
            <w:vAlign w:val="top"/>
          </w:tcPr>
          <w:p w14:paraId="21239758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</w:tr>
      <w:tr w14:paraId="5D834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  <w:noWrap w:val="0"/>
            <w:vAlign w:val="top"/>
          </w:tcPr>
          <w:p w14:paraId="3DA20F04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PWM_H</w:t>
            </w:r>
          </w:p>
        </w:tc>
        <w:tc>
          <w:tcPr>
            <w:tcW w:w="1230" w:type="dxa"/>
            <w:noWrap w:val="0"/>
            <w:vAlign w:val="top"/>
          </w:tcPr>
          <w:p w14:paraId="5C94F9DF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BOOL</w:t>
            </w:r>
          </w:p>
        </w:tc>
        <w:tc>
          <w:tcPr>
            <w:tcW w:w="5803" w:type="dxa"/>
            <w:noWrap w:val="0"/>
            <w:vAlign w:val="top"/>
          </w:tcPr>
          <w:p w14:paraId="7B6935F3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PWM热端输出，1为ON,0为OFF</w:t>
            </w:r>
          </w:p>
        </w:tc>
        <w:tc>
          <w:tcPr>
            <w:tcW w:w="1217" w:type="dxa"/>
            <w:noWrap w:val="0"/>
            <w:vAlign w:val="top"/>
          </w:tcPr>
          <w:p w14:paraId="5D4845C9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</w:tr>
      <w:tr w14:paraId="051EF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  <w:noWrap w:val="0"/>
            <w:vAlign w:val="top"/>
          </w:tcPr>
          <w:p w14:paraId="7AFE80A1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PWM_C</w:t>
            </w:r>
          </w:p>
        </w:tc>
        <w:tc>
          <w:tcPr>
            <w:tcW w:w="1230" w:type="dxa"/>
            <w:noWrap w:val="0"/>
            <w:vAlign w:val="top"/>
          </w:tcPr>
          <w:p w14:paraId="092BA3D3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BOOL</w:t>
            </w:r>
          </w:p>
        </w:tc>
        <w:tc>
          <w:tcPr>
            <w:tcW w:w="5803" w:type="dxa"/>
            <w:noWrap w:val="0"/>
            <w:vAlign w:val="top"/>
          </w:tcPr>
          <w:p w14:paraId="7F6D6094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PWM冷端输出，1为ON,0为OFF</w:t>
            </w:r>
          </w:p>
        </w:tc>
        <w:tc>
          <w:tcPr>
            <w:tcW w:w="1217" w:type="dxa"/>
            <w:noWrap w:val="0"/>
            <w:vAlign w:val="top"/>
          </w:tcPr>
          <w:p w14:paraId="0423F038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A337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" w:type="dxa"/>
            <w:noWrap w:val="0"/>
            <w:vAlign w:val="top"/>
          </w:tcPr>
          <w:p w14:paraId="39A8C72D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Status</w:t>
            </w:r>
          </w:p>
        </w:tc>
        <w:tc>
          <w:tcPr>
            <w:tcW w:w="1230" w:type="dxa"/>
            <w:noWrap w:val="0"/>
            <w:vAlign w:val="top"/>
          </w:tcPr>
          <w:p w14:paraId="68B7587E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WORD</w:t>
            </w:r>
          </w:p>
        </w:tc>
        <w:tc>
          <w:tcPr>
            <w:tcW w:w="5803" w:type="dxa"/>
            <w:noWrap w:val="0"/>
            <w:vAlign w:val="top"/>
          </w:tcPr>
          <w:p w14:paraId="45867809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当前PID的运行状态字，以相应位来表示状态</w:t>
            </w:r>
          </w:p>
          <w:tbl>
            <w:tblPr>
              <w:tblStyle w:val="17"/>
              <w:tblW w:w="558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9"/>
              <w:gridCol w:w="4558"/>
            </w:tblGrid>
            <w:tr w14:paraId="2DFC1BD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9" w:type="dxa"/>
                  <w:shd w:val="clear" w:color="auto" w:fill="D7D7D7" w:themeFill="background1" w:themeFillShade="D8"/>
                </w:tcPr>
                <w:p w14:paraId="4E023339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状态位</w:t>
                  </w:r>
                </w:p>
              </w:tc>
              <w:tc>
                <w:tcPr>
                  <w:tcW w:w="4558" w:type="dxa"/>
                  <w:shd w:val="clear" w:color="auto" w:fill="D7D7D7" w:themeFill="background1" w:themeFillShade="D8"/>
                </w:tcPr>
                <w:p w14:paraId="3DBD81F3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描述</w:t>
                  </w:r>
                </w:p>
              </w:tc>
            </w:tr>
            <w:tr w14:paraId="78CCA56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9" w:type="dxa"/>
                </w:tcPr>
                <w:p w14:paraId="3F7D1C75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Bit 0</w:t>
                  </w:r>
                </w:p>
              </w:tc>
              <w:tc>
                <w:tcPr>
                  <w:tcW w:w="4558" w:type="dxa"/>
                </w:tcPr>
                <w:p w14:paraId="41B55E42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1：PID正在运行</w:t>
                  </w:r>
                </w:p>
                <w:p w14:paraId="2A2AB022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0：PID停止运行</w:t>
                  </w:r>
                </w:p>
              </w:tc>
            </w:tr>
            <w:tr w14:paraId="487290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9" w:type="dxa"/>
                </w:tcPr>
                <w:p w14:paraId="2128B504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Bit 1</w:t>
                  </w:r>
                </w:p>
              </w:tc>
              <w:tc>
                <w:tcPr>
                  <w:tcW w:w="4558" w:type="dxa"/>
                </w:tcPr>
                <w:p w14:paraId="1C21A8E0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1：PID自整定正在运行</w:t>
                  </w:r>
                </w:p>
                <w:p w14:paraId="18D8BA80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0：PID自整定未运行</w:t>
                  </w:r>
                </w:p>
              </w:tc>
            </w:tr>
            <w:tr w14:paraId="3B70DAF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9" w:type="dxa"/>
                </w:tcPr>
                <w:p w14:paraId="0E532763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Bit 2</w:t>
                  </w:r>
                </w:p>
              </w:tc>
              <w:tc>
                <w:tcPr>
                  <w:tcW w:w="4558" w:type="dxa"/>
                </w:tcPr>
                <w:p w14:paraId="4FABB0B3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1：PID自适应正在运行</w:t>
                  </w:r>
                </w:p>
                <w:p w14:paraId="3264E30D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0：PID自适应未运行</w:t>
                  </w:r>
                </w:p>
              </w:tc>
            </w:tr>
            <w:tr w14:paraId="6AFB472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9" w:type="dxa"/>
                </w:tcPr>
                <w:p w14:paraId="0EEF3D23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Bit 3</w:t>
                  </w:r>
                </w:p>
              </w:tc>
              <w:tc>
                <w:tcPr>
                  <w:tcW w:w="4558" w:type="dxa"/>
                </w:tcPr>
                <w:p w14:paraId="7F635730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1：PWM热端输出ON</w:t>
                  </w:r>
                </w:p>
                <w:p w14:paraId="7E4C2656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0：PWM热端输出OFF</w:t>
                  </w:r>
                </w:p>
              </w:tc>
            </w:tr>
            <w:tr w14:paraId="3835575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9" w:type="dxa"/>
                </w:tcPr>
                <w:p w14:paraId="49219B36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Bit 4</w:t>
                  </w:r>
                </w:p>
              </w:tc>
              <w:tc>
                <w:tcPr>
                  <w:tcW w:w="4558" w:type="dxa"/>
                </w:tcPr>
                <w:p w14:paraId="668C6D51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1：PWM冷端输出ON</w:t>
                  </w:r>
                </w:p>
                <w:p w14:paraId="31F89B8F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0：PWM冷端输出OFF</w:t>
                  </w:r>
                </w:p>
              </w:tc>
            </w:tr>
            <w:tr w14:paraId="6A30E46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9" w:type="dxa"/>
                </w:tcPr>
                <w:p w14:paraId="67F7C2B5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Bit 14</w:t>
                  </w:r>
                </w:p>
              </w:tc>
              <w:tc>
                <w:tcPr>
                  <w:tcW w:w="4558" w:type="dxa"/>
                </w:tcPr>
                <w:p w14:paraId="46724AF9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1：PID计算故障</w:t>
                  </w:r>
                </w:p>
                <w:p w14:paraId="484E3C86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0：正常状态</w:t>
                  </w:r>
                </w:p>
              </w:tc>
            </w:tr>
            <w:tr w14:paraId="2C356F2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029" w:type="dxa"/>
                </w:tcPr>
                <w:p w14:paraId="302DDBC8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FF"/>
                      <w:vertAlign w:val="baseline"/>
                      <w:lang w:val="en-US" w:eastAsia="zh-CN"/>
                    </w:rPr>
                    <w:t>Bit 15</w:t>
                  </w:r>
                </w:p>
              </w:tc>
              <w:tc>
                <w:tcPr>
                  <w:tcW w:w="4558" w:type="dxa"/>
                </w:tcPr>
                <w:p w14:paraId="13E6C38A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1：PID自整定失败</w:t>
                  </w:r>
                </w:p>
                <w:p w14:paraId="606F2CDD">
                  <w:pPr>
                    <w:pStyle w:val="20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/>
                    <w:ind w:left="0" w:leftChars="0" w:firstLine="0" w:firstLineChars="0"/>
                    <w:textAlignment w:val="auto"/>
                    <w:outlineLvl w:val="9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0：正常状态</w:t>
                  </w:r>
                </w:p>
              </w:tc>
            </w:tr>
          </w:tbl>
          <w:p w14:paraId="215486DE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top"/>
          </w:tcPr>
          <w:p w14:paraId="0223173F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</w:tr>
    </w:tbl>
    <w:p w14:paraId="6DEA08F5"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textAlignment w:val="auto"/>
        <w:outlineLvl w:val="9"/>
        <w:rPr>
          <w:rFonts w:hint="eastAsia"/>
          <w:lang w:val="en-US" w:eastAsia="zh-CN"/>
        </w:rPr>
      </w:pPr>
    </w:p>
    <w:p w14:paraId="5C20CC22">
      <w:pPr>
        <w:pStyle w:val="2"/>
        <w:numPr>
          <w:ilvl w:val="0"/>
          <w:numId w:val="2"/>
        </w:numPr>
        <w:ind w:left="432" w:hanging="432"/>
        <w:rPr>
          <w:rFonts w:hint="eastAsia"/>
          <w:lang w:val="en-US" w:eastAsia="zh-CN"/>
        </w:rPr>
      </w:pPr>
      <w:bookmarkStart w:id="8" w:name="_Toc13876"/>
      <w:r>
        <w:rPr>
          <w:rFonts w:hint="eastAsia"/>
          <w:lang w:val="en-US" w:eastAsia="zh-CN"/>
        </w:rPr>
        <w:t>其他内容</w:t>
      </w:r>
      <w:bookmarkEnd w:id="8"/>
    </w:p>
    <w:p w14:paraId="0F50D9DB"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介绍所述对象的其他内容</w:t>
      </w:r>
    </w:p>
    <w:p w14:paraId="336F754A"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textAlignment w:val="auto"/>
        <w:outlineLvl w:val="9"/>
        <w:rPr>
          <w:rFonts w:hint="eastAsia"/>
          <w:lang w:val="en-US" w:eastAsia="zh-CN"/>
        </w:rPr>
      </w:pPr>
    </w:p>
    <w:sectPr>
      <w:headerReference r:id="rId7" w:type="first"/>
      <w:headerReference r:id="rId6" w:type="default"/>
      <w:pgSz w:w="11906" w:h="16838"/>
      <w:pgMar w:top="850" w:right="1080" w:bottom="850" w:left="1080" w:header="567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88AFF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960ADAD">
                          <w:pPr>
                            <w:pStyle w:val="12"/>
                            <w:rPr>
                              <w:rFonts w:hint="default" w:ascii="Arial" w:hAnsi="Arial" w:eastAsia="宋体" w:cs="Arial"/>
                              <w:sz w:val="20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default" w:ascii="Arial" w:hAnsi="Arial" w:cs="Arial"/>
                              <w:sz w:val="20"/>
                              <w:szCs w:val="20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Arial" w:hAnsi="Arial" w:cs="Arial"/>
                              <w:sz w:val="20"/>
                              <w:szCs w:val="20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Arial" w:hAnsi="Arial" w:cs="Arial"/>
                              <w:sz w:val="20"/>
                              <w:szCs w:val="20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Arial" w:hAnsi="Arial" w:cs="Arial"/>
                              <w:sz w:val="20"/>
                              <w:szCs w:val="20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Arial" w:hAnsi="Arial" w:cs="Arial"/>
                              <w:sz w:val="20"/>
                              <w:szCs w:val="20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60ADAD">
                    <w:pPr>
                      <w:pStyle w:val="12"/>
                      <w:rPr>
                        <w:rFonts w:hint="default" w:ascii="Arial" w:hAnsi="Arial" w:eastAsia="宋体" w:cs="Arial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hint="default" w:ascii="Arial" w:hAnsi="Arial" w:cs="Arial"/>
                        <w:sz w:val="20"/>
                        <w:szCs w:val="20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Arial" w:hAnsi="Arial" w:cs="Arial"/>
                        <w:sz w:val="20"/>
                        <w:szCs w:val="20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Arial" w:hAnsi="Arial" w:cs="Arial"/>
                        <w:sz w:val="20"/>
                        <w:szCs w:val="20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Arial" w:hAnsi="Arial" w:cs="Arial"/>
                        <w:sz w:val="20"/>
                        <w:szCs w:val="20"/>
                        <w:lang w:eastAsia="zh-CN"/>
                      </w:rPr>
                      <w:t>1</w:t>
                    </w:r>
                    <w:r>
                      <w:rPr>
                        <w:rFonts w:hint="default" w:ascii="Arial" w:hAnsi="Arial" w:cs="Arial"/>
                        <w:sz w:val="20"/>
                        <w:szCs w:val="20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827DE">
    <w:pPr>
      <w:pStyle w:val="13"/>
      <w:pBdr>
        <w:bottom w:val="single" w:color="auto" w:sz="4" w:space="1"/>
      </w:pBdr>
      <w:rPr>
        <w:rFonts w:hint="eastAsia" w:eastAsia="宋体"/>
        <w:sz w:val="20"/>
        <w:szCs w:val="20"/>
        <w:lang w:val="en-US"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00810" cy="423545"/>
          <wp:effectExtent l="0" t="0" r="0" b="0"/>
          <wp:docPr id="1" name="图片 1" descr="0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00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0810" cy="42354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              </w:t>
    </w:r>
    <w:r>
      <w:rPr>
        <w:rFonts w:hint="eastAsia"/>
        <w:sz w:val="20"/>
        <w:szCs w:val="20"/>
        <w:lang w:val="en-US" w:eastAsia="zh-CN"/>
      </w:rPr>
      <w:t>深圳市合信自动化技术有限公司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6"/>
      <w:tblW w:w="9720" w:type="dxa"/>
      <w:tblInd w:w="12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493"/>
      <w:gridCol w:w="6227"/>
    </w:tblGrid>
    <w:tr w14:paraId="2A70E788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701" w:hRule="atLeast"/>
      </w:trPr>
      <w:tc>
        <w:tcPr>
          <w:tcW w:w="3493" w:type="dxa"/>
          <w:noWrap w:val="0"/>
          <w:vAlign w:val="top"/>
        </w:tcPr>
        <w:p w14:paraId="23A05AE8">
          <w:pPr>
            <w:pStyle w:val="13"/>
            <w:pBdr>
              <w:bottom w:val="none" w:color="auto" w:sz="0" w:space="0"/>
            </w:pBdr>
            <w:tabs>
              <w:tab w:val="right" w:pos="9252"/>
              <w:tab w:val="clear" w:pos="8306"/>
            </w:tabs>
            <w:jc w:val="both"/>
            <w:rPr>
              <w:rFonts w:hint="eastAsia" w:eastAsia="宋体"/>
              <w:lang w:val="en-US" w:eastAsia="zh-CN"/>
            </w:rPr>
          </w:pPr>
          <w:r>
            <w:rPr>
              <w:rFonts w:hint="eastAsia" w:eastAsia="宋体"/>
              <w:lang w:eastAsia="zh-CN"/>
            </w:rPr>
            <w:drawing>
              <wp:inline distT="0" distB="0" distL="114300" distR="114300">
                <wp:extent cx="1400810" cy="423545"/>
                <wp:effectExtent l="0" t="0" r="0" b="0"/>
                <wp:docPr id="3" name="图片 3" descr="0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图片 3" descr="000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810" cy="423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27" w:type="dxa"/>
          <w:noWrap w:val="0"/>
          <w:vAlign w:val="center"/>
        </w:tcPr>
        <w:p w14:paraId="68479E55">
          <w:pPr>
            <w:pStyle w:val="13"/>
            <w:pBdr>
              <w:bottom w:val="none" w:color="auto" w:sz="0" w:space="0"/>
            </w:pBdr>
            <w:tabs>
              <w:tab w:val="right" w:pos="9252"/>
              <w:tab w:val="clear" w:pos="8306"/>
            </w:tabs>
            <w:jc w:val="right"/>
            <w:rPr>
              <w:rFonts w:hint="eastAsia" w:eastAsia="宋体"/>
              <w:lang w:eastAsia="zh-CN"/>
            </w:rPr>
          </w:pPr>
        </w:p>
      </w:tc>
    </w:tr>
  </w:tbl>
  <w:p w14:paraId="271A095F">
    <w:pPr>
      <w:pStyle w:val="13"/>
      <w:keepNext w:val="0"/>
      <w:keepLines w:val="0"/>
      <w:pageBreakBefore w:val="0"/>
      <w:widowControl w:val="0"/>
      <w:pBdr>
        <w:bottom w:val="thickThinSmallGap" w:color="auto" w:sz="12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40" w:lineRule="exact"/>
      <w:textAlignment w:val="auto"/>
      <w:outlineLvl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6"/>
      <w:tblW w:w="9720" w:type="dxa"/>
      <w:tblInd w:w="109" w:type="dxa"/>
      <w:tblBorders>
        <w:top w:val="none" w:color="auto" w:sz="0" w:space="0"/>
        <w:left w:val="none" w:color="auto" w:sz="0" w:space="0"/>
        <w:bottom w:val="single" w:color="auto" w:sz="4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626"/>
      <w:gridCol w:w="4411"/>
      <w:gridCol w:w="2683"/>
    </w:tblGrid>
    <w:tr w14:paraId="41DB8A32">
      <w:tblPrEx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701" w:hRule="atLeast"/>
      </w:trPr>
      <w:tc>
        <w:tcPr>
          <w:tcW w:w="2626" w:type="dxa"/>
          <w:noWrap w:val="0"/>
          <w:vAlign w:val="top"/>
        </w:tcPr>
        <w:p w14:paraId="5BA6D701">
          <w:pPr>
            <w:pStyle w:val="13"/>
            <w:pBdr>
              <w:bottom w:val="none" w:color="auto" w:sz="0" w:space="0"/>
            </w:pBdr>
            <w:tabs>
              <w:tab w:val="right" w:pos="9252"/>
              <w:tab w:val="clear" w:pos="8306"/>
            </w:tabs>
            <w:jc w:val="both"/>
            <w:rPr>
              <w:rFonts w:hint="eastAsia" w:ascii="宋体" w:hAnsi="宋体" w:eastAsia="宋体"/>
              <w:kern w:val="0"/>
              <w:sz w:val="21"/>
              <w:szCs w:val="21"/>
              <w:lang w:val="en-US" w:eastAsia="zh-CN"/>
            </w:rPr>
          </w:pPr>
          <w:r>
            <w:rPr>
              <w:rFonts w:hint="eastAsia" w:eastAsia="宋体"/>
              <w:lang w:eastAsia="zh-CN"/>
            </w:rPr>
            <w:drawing>
              <wp:inline distT="0" distB="0" distL="114300" distR="114300">
                <wp:extent cx="1400810" cy="423545"/>
                <wp:effectExtent l="0" t="0" r="0" b="0"/>
                <wp:docPr id="4" name="图片 5" descr="0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图片 5" descr="000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810" cy="423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1" w:type="dxa"/>
          <w:noWrap w:val="0"/>
          <w:vAlign w:val="center"/>
        </w:tcPr>
        <w:p w14:paraId="3432D716">
          <w:pPr>
            <w:pStyle w:val="21"/>
            <w:numPr>
              <w:ilvl w:val="0"/>
              <w:numId w:val="0"/>
            </w:numPr>
            <w:snapToGrid w:val="0"/>
            <w:spacing w:line="340" w:lineRule="atLeast"/>
            <w:ind w:left="0" w:leftChars="0" w:right="0" w:rightChars="0" w:firstLine="0" w:firstLineChars="0"/>
            <w:jc w:val="center"/>
            <w:rPr>
              <w:rFonts w:hint="eastAsia" w:ascii="黑体" w:hAnsi="黑体" w:eastAsia="黑体" w:cs="黑体"/>
              <w:kern w:val="0"/>
              <w:sz w:val="20"/>
              <w:szCs w:val="20"/>
              <w:lang w:val="en-US" w:eastAsia="zh-CN"/>
            </w:rPr>
          </w:pPr>
          <w:r>
            <w:rPr>
              <w:rFonts w:hint="eastAsia" w:ascii="黑体" w:hAnsi="黑体" w:eastAsia="黑体" w:cs="黑体"/>
              <w:kern w:val="0"/>
              <w:sz w:val="20"/>
              <w:szCs w:val="20"/>
              <w:lang w:val="en-US" w:eastAsia="zh-CN"/>
            </w:rPr>
            <w:t>***技术文档V1.x</w:t>
          </w:r>
        </w:p>
      </w:tc>
      <w:tc>
        <w:tcPr>
          <w:tcW w:w="2683" w:type="dxa"/>
          <w:noWrap w:val="0"/>
          <w:vAlign w:val="center"/>
        </w:tcPr>
        <w:p w14:paraId="0FFC094D">
          <w:pPr>
            <w:pStyle w:val="13"/>
            <w:pBdr>
              <w:bottom w:val="none" w:color="auto" w:sz="0" w:space="0"/>
            </w:pBdr>
            <w:jc w:val="right"/>
            <w:rPr>
              <w:rFonts w:hint="eastAsia" w:ascii="黑体" w:hAnsi="黑体" w:eastAsia="黑体" w:cs="黑体"/>
              <w:sz w:val="20"/>
              <w:szCs w:val="20"/>
            </w:rPr>
          </w:pPr>
        </w:p>
      </w:tc>
    </w:tr>
  </w:tbl>
  <w:p w14:paraId="70240A30">
    <w:pPr>
      <w:pStyle w:val="13"/>
      <w:rPr>
        <w:rFonts w:hint="eastAsia"/>
        <w:lang w:val="en-US"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6"/>
      <w:tblW w:w="9720" w:type="dxa"/>
      <w:tblInd w:w="109" w:type="dxa"/>
      <w:tblBorders>
        <w:top w:val="none" w:color="auto" w:sz="0" w:space="0"/>
        <w:left w:val="none" w:color="auto" w:sz="0" w:space="0"/>
        <w:bottom w:val="single" w:color="auto" w:sz="4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626"/>
      <w:gridCol w:w="4411"/>
      <w:gridCol w:w="2683"/>
    </w:tblGrid>
    <w:tr w14:paraId="35728C89">
      <w:tblPrEx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701" w:hRule="atLeast"/>
      </w:trPr>
      <w:tc>
        <w:tcPr>
          <w:tcW w:w="2626" w:type="dxa"/>
          <w:noWrap w:val="0"/>
          <w:vAlign w:val="top"/>
        </w:tcPr>
        <w:p w14:paraId="2CA4F035">
          <w:pPr>
            <w:pStyle w:val="13"/>
            <w:pBdr>
              <w:bottom w:val="none" w:color="auto" w:sz="0" w:space="0"/>
            </w:pBdr>
            <w:tabs>
              <w:tab w:val="right" w:pos="9252"/>
              <w:tab w:val="clear" w:pos="8306"/>
            </w:tabs>
            <w:jc w:val="both"/>
            <w:rPr>
              <w:rFonts w:hint="eastAsia" w:ascii="宋体" w:hAnsi="宋体" w:eastAsia="宋体"/>
              <w:kern w:val="0"/>
              <w:sz w:val="21"/>
              <w:szCs w:val="21"/>
              <w:lang w:val="en-US" w:eastAsia="zh-CN"/>
            </w:rPr>
          </w:pPr>
          <w:r>
            <w:rPr>
              <w:rFonts w:hint="eastAsia" w:eastAsia="宋体"/>
              <w:lang w:eastAsia="zh-CN"/>
            </w:rPr>
            <w:drawing>
              <wp:inline distT="0" distB="0" distL="114300" distR="114300">
                <wp:extent cx="1400810" cy="423545"/>
                <wp:effectExtent l="0" t="0" r="0" b="0"/>
                <wp:docPr id="5" name="图片 4" descr="0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图片 4" descr="000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810" cy="423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1" w:type="dxa"/>
          <w:noWrap w:val="0"/>
          <w:vAlign w:val="center"/>
        </w:tcPr>
        <w:p w14:paraId="373640A0">
          <w:pPr>
            <w:jc w:val="center"/>
            <w:rPr>
              <w:rFonts w:hint="eastAsia" w:ascii="黑体" w:hAnsi="黑体" w:eastAsia="黑体" w:cs="黑体"/>
              <w:kern w:val="0"/>
              <w:sz w:val="20"/>
              <w:szCs w:val="20"/>
              <w:lang w:val="en-US" w:eastAsia="zh-CN"/>
            </w:rPr>
          </w:pPr>
          <w:r>
            <w:rPr>
              <w:rFonts w:hint="eastAsia" w:ascii="黑体" w:hAnsi="黑体" w:eastAsia="黑体" w:cs="黑体"/>
              <w:sz w:val="20"/>
              <w:szCs w:val="20"/>
              <w:lang w:val="en-US" w:eastAsia="zh-CN"/>
            </w:rPr>
            <w:t>advPID库使用说明文档</w:t>
          </w:r>
          <w:r>
            <w:rPr>
              <w:rFonts w:hint="eastAsia" w:ascii="黑体" w:hAnsi="黑体" w:eastAsia="黑体" w:cs="黑体"/>
              <w:kern w:val="0"/>
              <w:sz w:val="20"/>
              <w:szCs w:val="20"/>
              <w:lang w:val="en-US" w:eastAsia="zh-CN"/>
            </w:rPr>
            <w:t>V1.0</w:t>
          </w:r>
        </w:p>
      </w:tc>
      <w:tc>
        <w:tcPr>
          <w:tcW w:w="2683" w:type="dxa"/>
          <w:noWrap w:val="0"/>
          <w:vAlign w:val="center"/>
        </w:tcPr>
        <w:p w14:paraId="31CD7EFD">
          <w:pPr>
            <w:pStyle w:val="13"/>
            <w:pBdr>
              <w:bottom w:val="none" w:color="auto" w:sz="0" w:space="0"/>
            </w:pBdr>
            <w:jc w:val="right"/>
            <w:rPr>
              <w:rFonts w:hint="eastAsia" w:ascii="黑体" w:hAnsi="黑体" w:eastAsia="黑体" w:cs="黑体"/>
              <w:sz w:val="20"/>
              <w:szCs w:val="20"/>
            </w:rPr>
          </w:pPr>
        </w:p>
      </w:tc>
    </w:tr>
  </w:tbl>
  <w:p w14:paraId="0A5E25F6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9DC1A9"/>
    <w:multiLevelType w:val="multilevel"/>
    <w:tmpl w:val="949DC1A9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iM2FkMTFiNGYzZGQ5MDE5ZDhhZTRhY2NjYTdhNTAifQ=="/>
  </w:docVars>
  <w:rsids>
    <w:rsidRoot w:val="0A2F023E"/>
    <w:rsid w:val="00E13E38"/>
    <w:rsid w:val="015F1129"/>
    <w:rsid w:val="01AC7C14"/>
    <w:rsid w:val="01CC0882"/>
    <w:rsid w:val="03453C97"/>
    <w:rsid w:val="0351246D"/>
    <w:rsid w:val="035B6EE8"/>
    <w:rsid w:val="04AC7192"/>
    <w:rsid w:val="04E4769D"/>
    <w:rsid w:val="057E2D38"/>
    <w:rsid w:val="059831C9"/>
    <w:rsid w:val="063D4F68"/>
    <w:rsid w:val="065967F9"/>
    <w:rsid w:val="069B12D5"/>
    <w:rsid w:val="06C139AA"/>
    <w:rsid w:val="078A6988"/>
    <w:rsid w:val="08D017D6"/>
    <w:rsid w:val="098F1577"/>
    <w:rsid w:val="09D9691D"/>
    <w:rsid w:val="0A2F023E"/>
    <w:rsid w:val="0AF37DA9"/>
    <w:rsid w:val="0B003638"/>
    <w:rsid w:val="0BBD6464"/>
    <w:rsid w:val="0BC85EBC"/>
    <w:rsid w:val="0C0D6EE6"/>
    <w:rsid w:val="0C124325"/>
    <w:rsid w:val="0C745815"/>
    <w:rsid w:val="0C991AE8"/>
    <w:rsid w:val="0CA35890"/>
    <w:rsid w:val="0D8012F8"/>
    <w:rsid w:val="0DC21DA2"/>
    <w:rsid w:val="0E090D51"/>
    <w:rsid w:val="0EF64FCB"/>
    <w:rsid w:val="0F2C25A5"/>
    <w:rsid w:val="0F420D36"/>
    <w:rsid w:val="0F5B753A"/>
    <w:rsid w:val="107F48FA"/>
    <w:rsid w:val="10972B27"/>
    <w:rsid w:val="113145D0"/>
    <w:rsid w:val="1146014F"/>
    <w:rsid w:val="115B1C11"/>
    <w:rsid w:val="12734451"/>
    <w:rsid w:val="12977E37"/>
    <w:rsid w:val="135C68D1"/>
    <w:rsid w:val="13D8557C"/>
    <w:rsid w:val="14F84AAA"/>
    <w:rsid w:val="15A75AC6"/>
    <w:rsid w:val="15A81B78"/>
    <w:rsid w:val="160840FA"/>
    <w:rsid w:val="1657510D"/>
    <w:rsid w:val="178B314A"/>
    <w:rsid w:val="17F60ED9"/>
    <w:rsid w:val="18DD6FF5"/>
    <w:rsid w:val="190E5A63"/>
    <w:rsid w:val="19C80322"/>
    <w:rsid w:val="19D47C04"/>
    <w:rsid w:val="19E3520A"/>
    <w:rsid w:val="1AB30B5C"/>
    <w:rsid w:val="1CAA5390"/>
    <w:rsid w:val="1CB80E14"/>
    <w:rsid w:val="1D362B96"/>
    <w:rsid w:val="1DE6263C"/>
    <w:rsid w:val="1EAD3715"/>
    <w:rsid w:val="1F6F4D1C"/>
    <w:rsid w:val="1F8156C9"/>
    <w:rsid w:val="1FA40B35"/>
    <w:rsid w:val="2037232C"/>
    <w:rsid w:val="205268CA"/>
    <w:rsid w:val="206C78EC"/>
    <w:rsid w:val="2133237B"/>
    <w:rsid w:val="21C10878"/>
    <w:rsid w:val="21DC7F97"/>
    <w:rsid w:val="2268330D"/>
    <w:rsid w:val="22884DFE"/>
    <w:rsid w:val="23770EB0"/>
    <w:rsid w:val="238A29D0"/>
    <w:rsid w:val="23A60FF4"/>
    <w:rsid w:val="23C25492"/>
    <w:rsid w:val="248F2616"/>
    <w:rsid w:val="2590646E"/>
    <w:rsid w:val="25A51DF2"/>
    <w:rsid w:val="25AB16BC"/>
    <w:rsid w:val="25E62B33"/>
    <w:rsid w:val="25F212FC"/>
    <w:rsid w:val="262303EE"/>
    <w:rsid w:val="26A30A27"/>
    <w:rsid w:val="26B13CC8"/>
    <w:rsid w:val="27D548A8"/>
    <w:rsid w:val="27F3107E"/>
    <w:rsid w:val="28476548"/>
    <w:rsid w:val="29181529"/>
    <w:rsid w:val="294F4758"/>
    <w:rsid w:val="2970018D"/>
    <w:rsid w:val="29C941B5"/>
    <w:rsid w:val="2A173EE8"/>
    <w:rsid w:val="2AFE0BF5"/>
    <w:rsid w:val="2B3228A9"/>
    <w:rsid w:val="2B3F259D"/>
    <w:rsid w:val="2B75450C"/>
    <w:rsid w:val="2B931347"/>
    <w:rsid w:val="2B965C2A"/>
    <w:rsid w:val="2CC36B1B"/>
    <w:rsid w:val="2DA21F6B"/>
    <w:rsid w:val="2DF44F67"/>
    <w:rsid w:val="2E50093D"/>
    <w:rsid w:val="2E9B4A40"/>
    <w:rsid w:val="2EDB0815"/>
    <w:rsid w:val="2EEE576E"/>
    <w:rsid w:val="2F0238B7"/>
    <w:rsid w:val="2F6140DD"/>
    <w:rsid w:val="3039310F"/>
    <w:rsid w:val="30675F63"/>
    <w:rsid w:val="30D24CA7"/>
    <w:rsid w:val="32977675"/>
    <w:rsid w:val="335C52E5"/>
    <w:rsid w:val="34666F34"/>
    <w:rsid w:val="34B905F0"/>
    <w:rsid w:val="354D2BEE"/>
    <w:rsid w:val="36C14378"/>
    <w:rsid w:val="371C6A75"/>
    <w:rsid w:val="37705823"/>
    <w:rsid w:val="37ED324E"/>
    <w:rsid w:val="3B0928B9"/>
    <w:rsid w:val="3B6F744A"/>
    <w:rsid w:val="3BFD086A"/>
    <w:rsid w:val="3C026AD2"/>
    <w:rsid w:val="3C0755EA"/>
    <w:rsid w:val="3CAD2FF4"/>
    <w:rsid w:val="3CCC5EC9"/>
    <w:rsid w:val="3CF6417B"/>
    <w:rsid w:val="3D436EDE"/>
    <w:rsid w:val="3DD55166"/>
    <w:rsid w:val="3E0754C6"/>
    <w:rsid w:val="3E0C733E"/>
    <w:rsid w:val="3E2B4BF3"/>
    <w:rsid w:val="3FA4224B"/>
    <w:rsid w:val="3FB94075"/>
    <w:rsid w:val="401900FC"/>
    <w:rsid w:val="41CB4280"/>
    <w:rsid w:val="422C5DD6"/>
    <w:rsid w:val="42552A44"/>
    <w:rsid w:val="4264216D"/>
    <w:rsid w:val="44704E9B"/>
    <w:rsid w:val="4480070C"/>
    <w:rsid w:val="449F4004"/>
    <w:rsid w:val="44B83683"/>
    <w:rsid w:val="45215B79"/>
    <w:rsid w:val="456417A3"/>
    <w:rsid w:val="46797363"/>
    <w:rsid w:val="46A75437"/>
    <w:rsid w:val="482F7503"/>
    <w:rsid w:val="489902F1"/>
    <w:rsid w:val="4A034FAD"/>
    <w:rsid w:val="4AEE3681"/>
    <w:rsid w:val="4AEF7AC2"/>
    <w:rsid w:val="4C72002E"/>
    <w:rsid w:val="4C8367B6"/>
    <w:rsid w:val="4CCE3F05"/>
    <w:rsid w:val="4DB02FE1"/>
    <w:rsid w:val="4E235E09"/>
    <w:rsid w:val="4E26185F"/>
    <w:rsid w:val="4E3C64EC"/>
    <w:rsid w:val="4E4B2BBB"/>
    <w:rsid w:val="4E632248"/>
    <w:rsid w:val="4E6E59C2"/>
    <w:rsid w:val="4EDD7C35"/>
    <w:rsid w:val="4FD41558"/>
    <w:rsid w:val="50D86017"/>
    <w:rsid w:val="50FF5B1D"/>
    <w:rsid w:val="518120DD"/>
    <w:rsid w:val="51E26700"/>
    <w:rsid w:val="526E2C0C"/>
    <w:rsid w:val="53150385"/>
    <w:rsid w:val="532A2CB6"/>
    <w:rsid w:val="538362E8"/>
    <w:rsid w:val="5390644E"/>
    <w:rsid w:val="54002232"/>
    <w:rsid w:val="54044727"/>
    <w:rsid w:val="54390408"/>
    <w:rsid w:val="544605BD"/>
    <w:rsid w:val="544F55DA"/>
    <w:rsid w:val="549806C2"/>
    <w:rsid w:val="54C64F42"/>
    <w:rsid w:val="54E25CCB"/>
    <w:rsid w:val="55564FCB"/>
    <w:rsid w:val="55D9172F"/>
    <w:rsid w:val="564D3CA7"/>
    <w:rsid w:val="56614412"/>
    <w:rsid w:val="56ED40E8"/>
    <w:rsid w:val="58553D30"/>
    <w:rsid w:val="591C1236"/>
    <w:rsid w:val="595550A1"/>
    <w:rsid w:val="598E04D6"/>
    <w:rsid w:val="5A3F1FB9"/>
    <w:rsid w:val="5ADF6F54"/>
    <w:rsid w:val="5BB54E45"/>
    <w:rsid w:val="5C3F7B6D"/>
    <w:rsid w:val="5C741492"/>
    <w:rsid w:val="5D5467F6"/>
    <w:rsid w:val="5D5612AC"/>
    <w:rsid w:val="5D67153C"/>
    <w:rsid w:val="5D6A0F9F"/>
    <w:rsid w:val="5D923B10"/>
    <w:rsid w:val="5DC1748F"/>
    <w:rsid w:val="5DFF1B01"/>
    <w:rsid w:val="5E073204"/>
    <w:rsid w:val="5E70427C"/>
    <w:rsid w:val="5EA66F1A"/>
    <w:rsid w:val="5EC32C3E"/>
    <w:rsid w:val="5FCB28CE"/>
    <w:rsid w:val="60093E09"/>
    <w:rsid w:val="6158129F"/>
    <w:rsid w:val="61D54BB4"/>
    <w:rsid w:val="622C23F2"/>
    <w:rsid w:val="62566383"/>
    <w:rsid w:val="6260084F"/>
    <w:rsid w:val="63BA6199"/>
    <w:rsid w:val="661C4829"/>
    <w:rsid w:val="68627BAD"/>
    <w:rsid w:val="68720D62"/>
    <w:rsid w:val="68856F5A"/>
    <w:rsid w:val="68C666DA"/>
    <w:rsid w:val="69DE0DF1"/>
    <w:rsid w:val="69EA640E"/>
    <w:rsid w:val="6A5E1B0A"/>
    <w:rsid w:val="6A6454D4"/>
    <w:rsid w:val="6AA974B4"/>
    <w:rsid w:val="6C6F7024"/>
    <w:rsid w:val="6C8A0D96"/>
    <w:rsid w:val="6CB462DF"/>
    <w:rsid w:val="6CE448E7"/>
    <w:rsid w:val="6D366C73"/>
    <w:rsid w:val="6D9E674C"/>
    <w:rsid w:val="6DDE339E"/>
    <w:rsid w:val="6E2003DA"/>
    <w:rsid w:val="6E44543E"/>
    <w:rsid w:val="6EED3B51"/>
    <w:rsid w:val="6F006E36"/>
    <w:rsid w:val="6F8848FA"/>
    <w:rsid w:val="6FF5537B"/>
    <w:rsid w:val="70832A1D"/>
    <w:rsid w:val="712A47D2"/>
    <w:rsid w:val="714F67AE"/>
    <w:rsid w:val="715263A7"/>
    <w:rsid w:val="718270AA"/>
    <w:rsid w:val="718F2799"/>
    <w:rsid w:val="72F56BBB"/>
    <w:rsid w:val="730334C2"/>
    <w:rsid w:val="733534E5"/>
    <w:rsid w:val="73402E68"/>
    <w:rsid w:val="735A42D4"/>
    <w:rsid w:val="739A480E"/>
    <w:rsid w:val="74A83CBA"/>
    <w:rsid w:val="74B045F0"/>
    <w:rsid w:val="75816F20"/>
    <w:rsid w:val="75AB46AA"/>
    <w:rsid w:val="75AE3F0F"/>
    <w:rsid w:val="75C85FB8"/>
    <w:rsid w:val="75F619FA"/>
    <w:rsid w:val="765C5C91"/>
    <w:rsid w:val="767B0995"/>
    <w:rsid w:val="76964B2C"/>
    <w:rsid w:val="76BB0CE1"/>
    <w:rsid w:val="77A26A46"/>
    <w:rsid w:val="78CF6BBD"/>
    <w:rsid w:val="78D6262C"/>
    <w:rsid w:val="7B642864"/>
    <w:rsid w:val="7B6B2F5C"/>
    <w:rsid w:val="7B9A6A10"/>
    <w:rsid w:val="7C1E630E"/>
    <w:rsid w:val="7C5930E2"/>
    <w:rsid w:val="7C9C2E0B"/>
    <w:rsid w:val="7D087049"/>
    <w:rsid w:val="7D431E10"/>
    <w:rsid w:val="7DD07804"/>
    <w:rsid w:val="7DE25F00"/>
    <w:rsid w:val="7DE539EE"/>
    <w:rsid w:val="7E4E144D"/>
    <w:rsid w:val="7E9925E3"/>
    <w:rsid w:val="7F7E401E"/>
    <w:rsid w:val="7FE27C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numPr>
        <w:ilvl w:val="0"/>
        <w:numId w:val="1"/>
      </w:numPr>
      <w:spacing w:before="120" w:after="120" w:line="480" w:lineRule="auto"/>
      <w:ind w:left="432" w:hanging="432"/>
      <w:jc w:val="left"/>
      <w:outlineLvl w:val="0"/>
    </w:pPr>
    <w:rPr>
      <w:rFonts w:hint="eastAsia" w:ascii="Calibri" w:hAnsi="Calibri" w:eastAsia="黑体"/>
      <w:sz w:val="3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360" w:lineRule="auto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240" w:lineRule="auto"/>
      <w:ind w:left="720" w:hanging="720"/>
      <w:jc w:val="left"/>
      <w:outlineLvl w:val="2"/>
    </w:pPr>
    <w:rPr>
      <w:rFonts w:ascii="Calibri" w:hAnsi="Calibri" w:eastAsia="黑体"/>
      <w:b/>
      <w:sz w:val="24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3"/>
    <w:basedOn w:val="1"/>
    <w:next w:val="1"/>
    <w:qFormat/>
    <w:uiPriority w:val="0"/>
    <w:pPr>
      <w:ind w:left="840" w:leftChars="400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toc 1"/>
    <w:basedOn w:val="1"/>
    <w:next w:val="1"/>
    <w:qFormat/>
    <w:uiPriority w:val="0"/>
  </w:style>
  <w:style w:type="paragraph" w:styleId="15">
    <w:name w:val="toc 2"/>
    <w:basedOn w:val="1"/>
    <w:next w:val="1"/>
    <w:qFormat/>
    <w:uiPriority w:val="0"/>
    <w:pPr>
      <w:ind w:left="420" w:leftChars="200"/>
    </w:p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FollowedHyperlink"/>
    <w:qFormat/>
    <w:uiPriority w:val="0"/>
    <w:rPr>
      <w:color w:val="954F72"/>
      <w:u w:val="single"/>
    </w:rPr>
  </w:style>
  <w:style w:type="paragraph" w:customStyle="1" w:styleId="20">
    <w:name w:val="文档正文"/>
    <w:basedOn w:val="1"/>
    <w:qFormat/>
    <w:uiPriority w:val="0"/>
    <w:pPr>
      <w:spacing w:before="120"/>
      <w:ind w:leftChars="0" w:firstLine="420" w:firstLineChars="200"/>
      <w:jc w:val="left"/>
    </w:pPr>
    <w:rPr>
      <w:rFonts w:ascii="Calibri" w:hAnsi="Calibri" w:eastAsia="宋体"/>
      <w:sz w:val="20"/>
    </w:rPr>
  </w:style>
  <w:style w:type="paragraph" w:customStyle="1" w:styleId="21">
    <w:name w:val="Body Text First Indent"/>
    <w:basedOn w:val="1"/>
    <w:qFormat/>
    <w:uiPriority w:val="0"/>
    <w:pPr>
      <w:autoSpaceDE w:val="0"/>
      <w:autoSpaceDN w:val="0"/>
      <w:adjustRightInd w:val="0"/>
      <w:spacing w:line="360" w:lineRule="auto"/>
      <w:ind w:left="1134"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z-g.cotrust.com\sysvol\sz-g.cotrust.com\scripts\document%20model\&#21512;&#20449;&#25991;&#26723;&#27169;&#26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合信文档模板.dot</Template>
  <Pages>7</Pages>
  <Words>1858</Words>
  <Characters>2459</Characters>
  <Lines>0</Lines>
  <Paragraphs>0</Paragraphs>
  <TotalTime>0</TotalTime>
  <ScaleCrop>false</ScaleCrop>
  <LinksUpToDate>false</LinksUpToDate>
  <CharactersWithSpaces>2576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2021-08-06T01:47:00Z</dcterms:created>
  <dc:creator>孙雅衡</dc:creator>
  <cp:lastModifiedBy>sundy</cp:lastModifiedBy>
  <dcterms:modified xsi:type="dcterms:W3CDTF">2024-11-01T03:17:20Z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A1A5C8B933F4490B9CDB26801BBAA313_12</vt:lpwstr>
  </property>
</Properties>
</file>